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97AC5C">
      <w:pPr>
        <w:keepNext w:val="0"/>
        <w:keepLines w:val="0"/>
        <w:pageBreakBefore w:val="0"/>
        <w:widowControl w:val="0"/>
        <w:kinsoku/>
        <w:wordWrap/>
        <w:overflowPunct/>
        <w:topLinePunct w:val="0"/>
        <w:autoSpaceDE/>
        <w:autoSpaceDN/>
        <w:bidi w:val="0"/>
        <w:adjustRightInd w:val="0"/>
        <w:snapToGrid w:val="0"/>
        <w:spacing w:line="579"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厦门君立集团有限公司工会委员会</w:t>
      </w:r>
    </w:p>
    <w:p w14:paraId="71883993">
      <w:pPr>
        <w:keepNext w:val="0"/>
        <w:keepLines w:val="0"/>
        <w:pageBreakBefore w:val="0"/>
        <w:widowControl w:val="0"/>
        <w:kinsoku/>
        <w:wordWrap/>
        <w:overflowPunct/>
        <w:topLinePunct w:val="0"/>
        <w:autoSpaceDE/>
        <w:autoSpaceDN/>
        <w:bidi w:val="0"/>
        <w:adjustRightInd w:val="0"/>
        <w:snapToGrid w:val="0"/>
        <w:spacing w:line="579"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关于开展2023-2024年职工旅游服务采购项目</w:t>
      </w:r>
    </w:p>
    <w:p w14:paraId="29EA400F">
      <w:pPr>
        <w:keepNext w:val="0"/>
        <w:keepLines w:val="0"/>
        <w:pageBreakBefore w:val="0"/>
        <w:widowControl w:val="0"/>
        <w:kinsoku/>
        <w:wordWrap/>
        <w:overflowPunct/>
        <w:topLinePunct w:val="0"/>
        <w:autoSpaceDE/>
        <w:autoSpaceDN/>
        <w:bidi w:val="0"/>
        <w:adjustRightInd w:val="0"/>
        <w:snapToGrid w:val="0"/>
        <w:spacing w:line="579" w:lineRule="exact"/>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比选公告</w:t>
      </w:r>
    </w:p>
    <w:p w14:paraId="19948731">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default" w:ascii="仿宋_GB2312" w:hAnsi="仿宋_GB2312" w:eastAsia="仿宋_GB2312" w:cs="仿宋_GB2312"/>
          <w:sz w:val="32"/>
          <w:szCs w:val="32"/>
          <w:lang w:val="en-US" w:eastAsia="zh-CN"/>
        </w:rPr>
      </w:pPr>
    </w:p>
    <w:p w14:paraId="532EB5EC">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一、项目名称、项目编号：</w:t>
      </w:r>
    </w:p>
    <w:p w14:paraId="19D8A0A9">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厦门君立集团有限公司工会委员会2023-</w:t>
      </w:r>
      <w:r>
        <w:rPr>
          <w:rFonts w:hint="eastAsia" w:asciiTheme="minorEastAsia" w:hAnsiTheme="minorEastAsia" w:eastAsiaTheme="minorEastAsia" w:cstheme="minorEastAsia"/>
          <w:sz w:val="28"/>
          <w:szCs w:val="28"/>
          <w:lang w:eastAsia="zh-CN"/>
        </w:rPr>
        <w:t>202</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lang w:eastAsia="zh-CN"/>
        </w:rPr>
        <w:t>年职工</w:t>
      </w:r>
      <w:r>
        <w:rPr>
          <w:rFonts w:hint="eastAsia" w:asciiTheme="minorEastAsia" w:hAnsiTheme="minorEastAsia" w:eastAsiaTheme="minorEastAsia" w:cstheme="minorEastAsia"/>
          <w:sz w:val="28"/>
          <w:szCs w:val="28"/>
          <w:lang w:val="en-US" w:eastAsia="zh-CN"/>
        </w:rPr>
        <w:t>旅游服务</w:t>
      </w:r>
      <w:r>
        <w:rPr>
          <w:rFonts w:hint="eastAsia" w:asciiTheme="minorEastAsia" w:hAnsiTheme="minorEastAsia" w:eastAsiaTheme="minorEastAsia" w:cstheme="minorEastAsia"/>
          <w:sz w:val="28"/>
          <w:szCs w:val="28"/>
          <w:lang w:eastAsia="zh-CN"/>
        </w:rPr>
        <w:t>采购</w:t>
      </w:r>
      <w:r>
        <w:rPr>
          <w:rFonts w:hint="eastAsia" w:asciiTheme="minorEastAsia" w:hAnsiTheme="minorEastAsia" w:eastAsiaTheme="minorEastAsia" w:cstheme="minorEastAsia"/>
          <w:sz w:val="28"/>
          <w:szCs w:val="28"/>
          <w:lang w:val="en-US" w:eastAsia="zh-CN"/>
        </w:rPr>
        <w:t>项目、2024-XMJLG-TU002。</w:t>
      </w:r>
    </w:p>
    <w:p w14:paraId="2D3BBA40">
      <w:pPr>
        <w:keepNext w:val="0"/>
        <w:keepLines w:val="0"/>
        <w:pageBreakBefore w:val="0"/>
        <w:widowControl w:val="0"/>
        <w:numPr>
          <w:ilvl w:val="0"/>
          <w:numId w:val="1"/>
        </w:numPr>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项目内容</w:t>
      </w:r>
    </w:p>
    <w:p w14:paraId="26AD407B">
      <w:pPr>
        <w:keepNext w:val="0"/>
        <w:keepLines w:val="0"/>
        <w:pageBreakBefore w:val="0"/>
        <w:widowControl w:val="0"/>
        <w:numPr>
          <w:ilvl w:val="0"/>
          <w:numId w:val="0"/>
        </w:numPr>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cstheme="minorEastAsia"/>
          <w:sz w:val="28"/>
          <w:szCs w:val="28"/>
          <w:lang w:val="en-US" w:eastAsia="zh-CN"/>
        </w:rPr>
        <w:t>开展</w:t>
      </w:r>
      <w:r>
        <w:rPr>
          <w:rFonts w:hint="eastAsia" w:asciiTheme="minorEastAsia" w:hAnsiTheme="minorEastAsia" w:eastAsiaTheme="minorEastAsia" w:cstheme="minorEastAsia"/>
          <w:sz w:val="28"/>
          <w:szCs w:val="28"/>
          <w:lang w:val="en-US" w:eastAsia="zh-CN"/>
        </w:rPr>
        <w:t>三天福建省外职工旅游。</w:t>
      </w:r>
    </w:p>
    <w:p w14:paraId="6D54AF55">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三、服务时间</w:t>
      </w:r>
    </w:p>
    <w:p w14:paraId="6BEF57DF">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服务周期2024年11月15日-11月17日，共计三天</w:t>
      </w:r>
      <w:r>
        <w:rPr>
          <w:rFonts w:hint="eastAsia" w:asciiTheme="minorEastAsia" w:hAnsiTheme="minorEastAsia" w:cstheme="minorEastAsia"/>
          <w:sz w:val="28"/>
          <w:szCs w:val="28"/>
          <w:lang w:val="en-US" w:eastAsia="zh-CN"/>
        </w:rPr>
        <w:t>两晚</w:t>
      </w:r>
      <w:r>
        <w:rPr>
          <w:rFonts w:hint="eastAsia" w:asciiTheme="minorEastAsia" w:hAnsiTheme="minorEastAsia" w:eastAsiaTheme="minorEastAsia" w:cstheme="minorEastAsia"/>
          <w:sz w:val="28"/>
          <w:szCs w:val="28"/>
          <w:lang w:val="en-US" w:eastAsia="zh-CN"/>
        </w:rPr>
        <w:t>，具体以合同约定时间为准。</w:t>
      </w:r>
    </w:p>
    <w:p w14:paraId="121E355D">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四、经费预算及来源</w:t>
      </w:r>
    </w:p>
    <w:p w14:paraId="5BAB051F">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本项目最高限价为6万元（人民币陆万圆整），</w:t>
      </w:r>
      <w:r>
        <w:rPr>
          <w:rFonts w:hint="eastAsia" w:asciiTheme="minorEastAsia" w:hAnsiTheme="minorEastAsia" w:cstheme="minorEastAsia"/>
          <w:sz w:val="28"/>
          <w:szCs w:val="28"/>
          <w:lang w:val="en-US" w:eastAsia="zh-CN"/>
        </w:rPr>
        <w:t>预计成人30人，最终以实际参加人数结算，</w:t>
      </w:r>
      <w:r>
        <w:rPr>
          <w:rFonts w:hint="eastAsia" w:asciiTheme="minorEastAsia" w:hAnsiTheme="minorEastAsia" w:eastAsiaTheme="minorEastAsia" w:cstheme="minorEastAsia"/>
          <w:sz w:val="28"/>
          <w:szCs w:val="28"/>
          <w:lang w:val="en-US" w:eastAsia="zh-CN"/>
        </w:rPr>
        <w:t>来源为工会经费，超过最高限价的报价为无效报价。</w:t>
      </w:r>
    </w:p>
    <w:p w14:paraId="1016A5CF">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五、比选方式</w:t>
      </w:r>
    </w:p>
    <w:p w14:paraId="529F3BC0">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有意参加比选的单位，按要求提交报名材料，通过资质审查的单位可进入比选环节。比选采用“综合评分办法”，</w:t>
      </w:r>
      <w:r>
        <w:rPr>
          <w:rFonts w:hint="eastAsia" w:asciiTheme="minorEastAsia" w:hAnsiTheme="minorEastAsia" w:cstheme="minorEastAsia"/>
          <w:sz w:val="28"/>
          <w:szCs w:val="28"/>
          <w:lang w:val="en-US" w:eastAsia="zh-CN"/>
        </w:rPr>
        <w:t>（详见附件</w:t>
      </w:r>
      <w:bookmarkStart w:id="0" w:name="_GoBack"/>
      <w:bookmarkEnd w:id="0"/>
      <w:r>
        <w:rPr>
          <w:rFonts w:hint="eastAsia" w:asciiTheme="minorEastAsia" w:hAnsiTheme="minorEastAsia" w:cstheme="minorEastAsia"/>
          <w:sz w:val="28"/>
          <w:szCs w:val="28"/>
          <w:lang w:val="en-US" w:eastAsia="zh-CN"/>
        </w:rPr>
        <w:t>）</w:t>
      </w:r>
      <w:r>
        <w:rPr>
          <w:rFonts w:hint="eastAsia" w:asciiTheme="minorEastAsia" w:hAnsiTheme="minorEastAsia" w:eastAsiaTheme="minorEastAsia" w:cstheme="minorEastAsia"/>
          <w:sz w:val="28"/>
          <w:szCs w:val="28"/>
          <w:lang w:val="en-US" w:eastAsia="zh-CN"/>
        </w:rPr>
        <w:t>由比选小组成员根据参选单位及其提交比选文件的相应情况进行无记名评分，综合得分最高的单位确定为项目承办单位，经公示无异议后与其签订项目合同。</w:t>
      </w:r>
    </w:p>
    <w:p w14:paraId="155175BD">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六、比选单位资质要求</w:t>
      </w:r>
    </w:p>
    <w:p w14:paraId="375CCF45">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（一）比选单位应满足《中华人民共和国政府采购法》第二十二条规定的条件：</w:t>
      </w:r>
    </w:p>
    <w:p w14:paraId="002D9F45">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1.具有独立承担民事责任的能力；</w:t>
      </w:r>
    </w:p>
    <w:p w14:paraId="3F343770">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2.具有良好的商业信誉和健全的财务会计制度；</w:t>
      </w:r>
    </w:p>
    <w:p w14:paraId="297EA757">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3.具有履行合同所必需的设备和专业技术能力；</w:t>
      </w:r>
    </w:p>
    <w:p w14:paraId="2931B900">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4.有依法缴纳税收和社会保障资金的良好记录；</w:t>
      </w:r>
    </w:p>
    <w:p w14:paraId="6B6AB2EF">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5.参加政府采购活动前三年内，在经营活动中没有重大违法记录；</w:t>
      </w:r>
    </w:p>
    <w:p w14:paraId="442C1ABF">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6.法律、行政法规规定的其他条件；</w:t>
      </w:r>
    </w:p>
    <w:p w14:paraId="65F542E4">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（二）比选单位应具有旅游服务的相关资质；</w:t>
      </w:r>
    </w:p>
    <w:p w14:paraId="0EAE94C2">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（三）本项目不接受联合体参加比选。</w:t>
      </w:r>
    </w:p>
    <w:p w14:paraId="002F8CFC">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七、比选报价、商务技术要求</w:t>
      </w:r>
    </w:p>
    <w:p w14:paraId="61602591">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1、报价费用应包含厦门出发返回机票、酒店住宿（含早餐）、交通工具（含景区交通）、餐费（含午餐、晚餐）、景区门票、保险、旅游地导游司机人员等费用；小朋友费用在报价表单独列一行说明。</w:t>
      </w:r>
    </w:p>
    <w:p w14:paraId="16033090">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2、旅游地点为福建省外（</w:t>
      </w:r>
      <w:r>
        <w:rPr>
          <w:rFonts w:hint="eastAsia" w:asciiTheme="minorEastAsia" w:hAnsiTheme="minorEastAsia" w:eastAsiaTheme="minorEastAsia" w:cstheme="minorEastAsia"/>
          <w:sz w:val="28"/>
          <w:szCs w:val="28"/>
          <w:lang w:val="en-US" w:eastAsia="zh-CN"/>
        </w:rPr>
        <w:t>除西安、桂林、阳朔、南京、扬州、温州、潮州、汕头、婺源（含三清山）、金门等已组织外</w:t>
      </w:r>
      <w:r>
        <w:rPr>
          <w:rFonts w:hint="eastAsia" w:asciiTheme="minorEastAsia" w:hAnsiTheme="minorEastAsia" w:cstheme="minorEastAsia"/>
          <w:sz w:val="28"/>
          <w:szCs w:val="28"/>
          <w:lang w:val="en-US" w:eastAsia="zh-CN"/>
        </w:rPr>
        <w:t>）；</w:t>
      </w:r>
    </w:p>
    <w:p w14:paraId="5AEA27B6">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3、出发返回时间早出晚归（或根据旅游地机票情况而定）、酒店住宿当地三星以上、餐费不低于30元/人/餐；</w:t>
      </w:r>
    </w:p>
    <w:p w14:paraId="7640E0AF">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4、至少提供1个旅游方案供选择；</w:t>
      </w:r>
    </w:p>
    <w:p w14:paraId="64145484">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5、至少指定一名人员（不含地接）负责对接事务，提供联系方式；</w:t>
      </w:r>
    </w:p>
    <w:p w14:paraId="4A44DBCD">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6、费用结算为旅游返程结束收到发票后七个工作日，凭已与采购单位核对对账单及发票结款。</w:t>
      </w:r>
    </w:p>
    <w:p w14:paraId="17B4AD84">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八</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比选</w:t>
      </w:r>
      <w:r>
        <w:rPr>
          <w:rFonts w:hint="eastAsia" w:asciiTheme="minorEastAsia" w:hAnsiTheme="minorEastAsia" w:eastAsiaTheme="minorEastAsia" w:cstheme="minorEastAsia"/>
          <w:sz w:val="28"/>
          <w:szCs w:val="28"/>
          <w:lang w:val="en-US" w:eastAsia="zh-CN"/>
        </w:rPr>
        <w:t>所需</w:t>
      </w:r>
      <w:r>
        <w:rPr>
          <w:rFonts w:hint="eastAsia" w:asciiTheme="minorEastAsia" w:hAnsiTheme="minorEastAsia" w:cstheme="minorEastAsia"/>
          <w:sz w:val="28"/>
          <w:szCs w:val="28"/>
          <w:lang w:val="en-US" w:eastAsia="zh-CN"/>
        </w:rPr>
        <w:t>提交</w:t>
      </w:r>
      <w:r>
        <w:rPr>
          <w:rFonts w:hint="eastAsia" w:asciiTheme="minorEastAsia" w:hAnsiTheme="minorEastAsia" w:eastAsiaTheme="minorEastAsia" w:cstheme="minorEastAsia"/>
          <w:sz w:val="28"/>
          <w:szCs w:val="28"/>
          <w:lang w:val="en-US" w:eastAsia="zh-CN"/>
        </w:rPr>
        <w:t>材料</w:t>
      </w:r>
    </w:p>
    <w:p w14:paraId="6F2F4D5F">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参加比选</w:t>
      </w:r>
      <w:r>
        <w:rPr>
          <w:rFonts w:hint="eastAsia" w:asciiTheme="minorEastAsia" w:hAnsiTheme="minorEastAsia" w:eastAsiaTheme="minorEastAsia" w:cstheme="minorEastAsia"/>
          <w:sz w:val="28"/>
          <w:szCs w:val="28"/>
          <w:lang w:val="en-US" w:eastAsia="zh-CN"/>
        </w:rPr>
        <w:t>单位需提交以下材料一式三份（正本一份，副本两份）：</w:t>
      </w:r>
    </w:p>
    <w:p w14:paraId="043FAF91">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（一）比选单位企业法人营业执照副本</w:t>
      </w:r>
      <w:r>
        <w:rPr>
          <w:rFonts w:hint="eastAsia" w:asciiTheme="minorEastAsia" w:hAnsiTheme="minorEastAsia" w:cstheme="minorEastAsia"/>
          <w:sz w:val="28"/>
          <w:szCs w:val="28"/>
          <w:lang w:val="en-US" w:eastAsia="zh-CN"/>
        </w:rPr>
        <w:t>复印件</w:t>
      </w:r>
      <w:r>
        <w:rPr>
          <w:rFonts w:hint="eastAsia" w:asciiTheme="minorEastAsia" w:hAnsiTheme="minorEastAsia" w:eastAsiaTheme="minorEastAsia" w:cstheme="minorEastAsia"/>
          <w:sz w:val="28"/>
          <w:szCs w:val="28"/>
          <w:lang w:val="en-US" w:eastAsia="zh-CN"/>
        </w:rPr>
        <w:t>；</w:t>
      </w:r>
    </w:p>
    <w:p w14:paraId="3F83BE61">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（二）法定代表人授权书原件</w:t>
      </w:r>
      <w:r>
        <w:rPr>
          <w:rFonts w:hint="eastAsia" w:asciiTheme="minorEastAsia" w:hAnsiTheme="minorEastAsia" w:cstheme="minorEastAsia"/>
          <w:sz w:val="28"/>
          <w:szCs w:val="28"/>
          <w:lang w:val="en-US" w:eastAsia="zh-CN"/>
        </w:rPr>
        <w:t>（格式自拟）、</w:t>
      </w:r>
      <w:r>
        <w:rPr>
          <w:rFonts w:hint="eastAsia" w:asciiTheme="minorEastAsia" w:hAnsiTheme="minorEastAsia" w:eastAsiaTheme="minorEastAsia" w:cstheme="minorEastAsia"/>
          <w:sz w:val="28"/>
          <w:szCs w:val="28"/>
          <w:lang w:val="en-US" w:eastAsia="zh-CN"/>
        </w:rPr>
        <w:t>法定代表人和授权代表身份证复印件；</w:t>
      </w:r>
    </w:p>
    <w:p w14:paraId="6C600BBF">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三</w:t>
      </w:r>
      <w:r>
        <w:rPr>
          <w:rFonts w:hint="eastAsia" w:asciiTheme="minorEastAsia" w:hAnsiTheme="minorEastAsia" w:eastAsiaTheme="minorEastAsia" w:cstheme="minorEastAsia"/>
          <w:sz w:val="28"/>
          <w:szCs w:val="28"/>
          <w:lang w:val="en-US" w:eastAsia="zh-CN"/>
        </w:rPr>
        <w:t>）符合《中华人民共和国政府采购法》第二十二条规定的相应证明材料</w:t>
      </w:r>
      <w:r>
        <w:rPr>
          <w:rFonts w:hint="eastAsia" w:asciiTheme="minorEastAsia" w:hAnsiTheme="minorEastAsia" w:cstheme="minorEastAsia"/>
          <w:sz w:val="28"/>
          <w:szCs w:val="28"/>
          <w:lang w:val="en-US" w:eastAsia="zh-CN"/>
        </w:rPr>
        <w:t>（</w:t>
      </w:r>
      <w:r>
        <w:rPr>
          <w:rFonts w:hint="eastAsia" w:asciiTheme="minorEastAsia" w:hAnsiTheme="minorEastAsia" w:eastAsiaTheme="minorEastAsia" w:cstheme="minorEastAsia"/>
          <w:sz w:val="28"/>
          <w:szCs w:val="28"/>
          <w:lang w:val="en-US" w:eastAsia="zh-CN"/>
        </w:rPr>
        <w:t>可提供承诺函</w:t>
      </w:r>
      <w:r>
        <w:rPr>
          <w:rFonts w:hint="eastAsia" w:asciiTheme="minorEastAsia" w:hAnsiTheme="minorEastAsia" w:cstheme="minorEastAsia"/>
          <w:sz w:val="28"/>
          <w:szCs w:val="28"/>
          <w:lang w:val="en-US" w:eastAsia="zh-CN"/>
        </w:rPr>
        <w:t>，格式自拟</w:t>
      </w:r>
      <w:r>
        <w:rPr>
          <w:rFonts w:hint="eastAsia" w:asciiTheme="minorEastAsia" w:hAnsiTheme="minorEastAsia" w:eastAsiaTheme="minorEastAsia" w:cstheme="minorEastAsia"/>
          <w:sz w:val="28"/>
          <w:szCs w:val="28"/>
          <w:lang w:val="en-US" w:eastAsia="zh-CN"/>
        </w:rPr>
        <w:t>）；旅游相关资质证明材料；</w:t>
      </w:r>
    </w:p>
    <w:p w14:paraId="655CA394">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五</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报价表</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（格式自拟）</w:t>
      </w:r>
    </w:p>
    <w:p w14:paraId="1FD78087">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六</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行程</w:t>
      </w:r>
      <w:r>
        <w:rPr>
          <w:rFonts w:hint="eastAsia" w:asciiTheme="minorEastAsia" w:hAnsiTheme="minorEastAsia" w:eastAsiaTheme="minorEastAsia" w:cstheme="minorEastAsia"/>
          <w:sz w:val="28"/>
          <w:szCs w:val="28"/>
          <w:lang w:val="en-US" w:eastAsia="zh-CN"/>
        </w:rPr>
        <w:t>方案</w:t>
      </w:r>
      <w:r>
        <w:rPr>
          <w:rFonts w:hint="eastAsia" w:asciiTheme="minorEastAsia" w:hAnsiTheme="minorEastAsia" w:cstheme="minorEastAsia"/>
          <w:sz w:val="28"/>
          <w:szCs w:val="28"/>
          <w:lang w:val="en-US" w:eastAsia="zh-CN"/>
        </w:rPr>
        <w:t>；（格式自拟）</w:t>
      </w:r>
    </w:p>
    <w:p w14:paraId="0E6757FA">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（七）供应商需提交其它材料（单位简介、业绩材料、应急预案等，格式自拟）</w:t>
      </w:r>
    </w:p>
    <w:p w14:paraId="32F81212">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注：提供加盖公章的</w:t>
      </w:r>
      <w:r>
        <w:rPr>
          <w:rFonts w:hint="eastAsia" w:asciiTheme="minorEastAsia" w:hAnsiTheme="minorEastAsia" w:cstheme="minorEastAsia"/>
          <w:sz w:val="28"/>
          <w:szCs w:val="28"/>
          <w:lang w:val="en-US" w:eastAsia="zh-CN"/>
        </w:rPr>
        <w:t>材料</w:t>
      </w:r>
      <w:r>
        <w:rPr>
          <w:rFonts w:hint="eastAsia" w:asciiTheme="minorEastAsia" w:hAnsiTheme="minorEastAsia" w:eastAsiaTheme="minorEastAsia" w:cstheme="minorEastAsia"/>
          <w:sz w:val="28"/>
          <w:szCs w:val="28"/>
          <w:lang w:val="en-US" w:eastAsia="zh-CN"/>
        </w:rPr>
        <w:t>，所有材料装订成册后密封提交。</w:t>
      </w:r>
    </w:p>
    <w:p w14:paraId="58A69CFA">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w:t>
      </w:r>
    </w:p>
    <w:p w14:paraId="203BBD08">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cstheme="minorEastAsia"/>
          <w:sz w:val="28"/>
          <w:szCs w:val="28"/>
          <w:lang w:val="en-US" w:eastAsia="zh-CN"/>
        </w:rPr>
      </w:pPr>
    </w:p>
    <w:p w14:paraId="0E523C92">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九</w:t>
      </w:r>
      <w:r>
        <w:rPr>
          <w:rFonts w:hint="eastAsia" w:asciiTheme="minorEastAsia" w:hAnsiTheme="minorEastAsia" w:eastAsiaTheme="minorEastAsia" w:cstheme="minorEastAsia"/>
          <w:sz w:val="28"/>
          <w:szCs w:val="28"/>
          <w:lang w:val="en-US" w:eastAsia="zh-CN"/>
        </w:rPr>
        <w:t>、比选时间、地点</w:t>
      </w:r>
    </w:p>
    <w:p w14:paraId="2DE0FA6E">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lang w:val="en-US" w:eastAsia="zh-CN"/>
        </w:rPr>
        <w:t>递交比选</w:t>
      </w:r>
      <w:r>
        <w:rPr>
          <w:rFonts w:hint="eastAsia" w:asciiTheme="minorEastAsia" w:hAnsiTheme="minorEastAsia" w:cstheme="minorEastAsia"/>
          <w:sz w:val="28"/>
          <w:szCs w:val="28"/>
          <w:lang w:val="en-US" w:eastAsia="zh-CN"/>
        </w:rPr>
        <w:t>申请</w:t>
      </w:r>
      <w:r>
        <w:rPr>
          <w:rFonts w:hint="eastAsia" w:asciiTheme="minorEastAsia" w:hAnsiTheme="minorEastAsia" w:eastAsiaTheme="minorEastAsia" w:cstheme="minorEastAsia"/>
          <w:sz w:val="28"/>
          <w:szCs w:val="28"/>
          <w:lang w:val="en-US" w:eastAsia="zh-CN"/>
        </w:rPr>
        <w:t>文件</w:t>
      </w:r>
      <w:r>
        <w:rPr>
          <w:rFonts w:hint="eastAsia" w:asciiTheme="minorEastAsia" w:hAnsiTheme="minorEastAsia" w:cstheme="minorEastAsia"/>
          <w:sz w:val="28"/>
          <w:szCs w:val="28"/>
          <w:lang w:val="en-US" w:eastAsia="zh-CN"/>
        </w:rPr>
        <w:t>提交</w:t>
      </w:r>
      <w:r>
        <w:rPr>
          <w:rFonts w:hint="eastAsia" w:asciiTheme="minorEastAsia" w:hAnsiTheme="minorEastAsia" w:eastAsiaTheme="minorEastAsia" w:cstheme="minorEastAsia"/>
          <w:sz w:val="28"/>
          <w:szCs w:val="28"/>
          <w:lang w:val="en-US" w:eastAsia="zh-CN"/>
        </w:rPr>
        <w:t>截止时间：</w:t>
      </w:r>
      <w:r>
        <w:rPr>
          <w:rFonts w:hint="eastAsia" w:asciiTheme="minorEastAsia" w:hAnsiTheme="minorEastAsia" w:eastAsiaTheme="minorEastAsia" w:cstheme="minorEastAsia"/>
          <w:sz w:val="28"/>
          <w:szCs w:val="28"/>
          <w:highlight w:val="none"/>
          <w:lang w:val="en-US" w:eastAsia="zh-CN"/>
        </w:rPr>
        <w:t>2024年10月</w:t>
      </w:r>
      <w:r>
        <w:rPr>
          <w:rFonts w:hint="eastAsia" w:asciiTheme="minorEastAsia" w:hAnsiTheme="minorEastAsia" w:cstheme="minorEastAsia"/>
          <w:sz w:val="28"/>
          <w:szCs w:val="28"/>
          <w:highlight w:val="none"/>
          <w:lang w:val="en-US" w:eastAsia="zh-CN"/>
        </w:rPr>
        <w:t>30</w:t>
      </w:r>
      <w:r>
        <w:rPr>
          <w:rFonts w:hint="eastAsia" w:asciiTheme="minorEastAsia" w:hAnsiTheme="minorEastAsia" w:eastAsiaTheme="minorEastAsia" w:cstheme="minorEastAsia"/>
          <w:sz w:val="28"/>
          <w:szCs w:val="28"/>
          <w:highlight w:val="none"/>
          <w:lang w:val="en-US" w:eastAsia="zh-CN"/>
        </w:rPr>
        <w:t>日</w:t>
      </w:r>
      <w:r>
        <w:rPr>
          <w:rFonts w:hint="eastAsia" w:asciiTheme="minorEastAsia" w:hAnsiTheme="minorEastAsia" w:cstheme="minorEastAsia"/>
          <w:sz w:val="28"/>
          <w:szCs w:val="28"/>
          <w:highlight w:val="none"/>
          <w:lang w:val="en-US" w:eastAsia="zh-CN"/>
        </w:rPr>
        <w:t>14:00</w:t>
      </w:r>
      <w:r>
        <w:rPr>
          <w:rFonts w:hint="eastAsia" w:asciiTheme="minorEastAsia" w:hAnsiTheme="minorEastAsia" w:eastAsiaTheme="minorEastAsia" w:cstheme="minorEastAsia"/>
          <w:sz w:val="28"/>
          <w:szCs w:val="28"/>
          <w:highlight w:val="none"/>
          <w:lang w:val="en-US" w:eastAsia="zh-CN"/>
        </w:rPr>
        <w:t>，可邮寄或专人送达。</w:t>
      </w:r>
    </w:p>
    <w:p w14:paraId="6664CFBB">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比选</w:t>
      </w:r>
      <w:r>
        <w:rPr>
          <w:rFonts w:hint="eastAsia" w:asciiTheme="minorEastAsia" w:hAnsiTheme="minorEastAsia" w:eastAsiaTheme="minorEastAsia" w:cstheme="minorEastAsia"/>
          <w:sz w:val="28"/>
          <w:szCs w:val="28"/>
          <w:lang w:val="en-US" w:eastAsia="zh-CN"/>
        </w:rPr>
        <w:t>地点：厦门市思明区湖滨南路口57号金源大厦3层厦门君立集团有限公司</w:t>
      </w:r>
      <w:r>
        <w:rPr>
          <w:rFonts w:hint="eastAsia" w:asciiTheme="minorEastAsia" w:hAnsiTheme="minorEastAsia" w:cstheme="minorEastAsia"/>
          <w:sz w:val="28"/>
          <w:szCs w:val="28"/>
          <w:lang w:val="en-US" w:eastAsia="zh-CN"/>
        </w:rPr>
        <w:t>会议室</w:t>
      </w:r>
      <w:r>
        <w:rPr>
          <w:rFonts w:hint="eastAsia" w:asciiTheme="minorEastAsia" w:hAnsiTheme="minorEastAsia" w:eastAsiaTheme="minorEastAsia" w:cstheme="minorEastAsia"/>
          <w:sz w:val="28"/>
          <w:szCs w:val="28"/>
          <w:lang w:val="en-US" w:eastAsia="zh-CN"/>
        </w:rPr>
        <w:t>。</w:t>
      </w:r>
    </w:p>
    <w:p w14:paraId="5EF3183B">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现场比选时间：2024年10月30日14:00，按递交文件顺序由比选申请单位授权代表现场演示方案。</w:t>
      </w:r>
    </w:p>
    <w:p w14:paraId="0A375C28">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比选材料须在递交比选申请文件截止时间前送达，逾期送达或不符合规定的比选申请文件恕不接受；不接受以电子邮件、传真递交的比选申请文件；参与比选的供应商须在递交比选申请文件后签字确认。</w:t>
      </w:r>
    </w:p>
    <w:p w14:paraId="63A22DE3">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九、联系方式</w:t>
      </w:r>
    </w:p>
    <w:p w14:paraId="06561ED3">
      <w:pPr>
        <w:keepNext w:val="0"/>
        <w:keepLines w:val="0"/>
        <w:pageBreakBefore w:val="0"/>
        <w:widowControl w:val="0"/>
        <w:kinsoku/>
        <w:wordWrap/>
        <w:overflowPunct/>
        <w:topLinePunct w:val="0"/>
        <w:autoSpaceDE/>
        <w:autoSpaceDN/>
        <w:bidi w:val="0"/>
        <w:adjustRightInd w:val="0"/>
        <w:snapToGrid w:val="0"/>
        <w:spacing w:line="579"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联系人：陈女士</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t>联系电话：0592-2217600</w:t>
      </w:r>
    </w:p>
    <w:p w14:paraId="67A5AF44">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z w:val="28"/>
          <w:szCs w:val="28"/>
          <w:lang w:val="en-US" w:eastAsia="zh-CN"/>
        </w:rPr>
      </w:pPr>
    </w:p>
    <w:p w14:paraId="149E7821">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z w:val="28"/>
          <w:szCs w:val="28"/>
          <w:lang w:val="en-US" w:eastAsia="zh-CN"/>
        </w:rPr>
      </w:pPr>
    </w:p>
    <w:p w14:paraId="374B930C">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厦门君立集团有限公司工会委员会</w:t>
      </w:r>
    </w:p>
    <w:p w14:paraId="0981C37C">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2024年10月22日</w:t>
      </w:r>
    </w:p>
    <w:p w14:paraId="376BF9CE">
      <w:p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br w:type="page"/>
      </w:r>
    </w:p>
    <w:p w14:paraId="48212A5E">
      <w:pPr>
        <w:keepNext w:val="0"/>
        <w:keepLines w:val="0"/>
        <w:pageBreakBefore w:val="0"/>
        <w:widowControl w:val="0"/>
        <w:kinsoku/>
        <w:wordWrap/>
        <w:overflowPunct/>
        <w:topLinePunct w:val="0"/>
        <w:autoSpaceDE/>
        <w:autoSpaceDN/>
        <w:bidi w:val="0"/>
        <w:adjustRightInd w:val="0"/>
        <w:snapToGrid w:val="0"/>
        <w:spacing w:line="570" w:lineRule="exac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附件1</w:t>
      </w:r>
    </w:p>
    <w:p w14:paraId="2CFA2CF0">
      <w:pPr>
        <w:keepNext w:val="0"/>
        <w:keepLines w:val="0"/>
        <w:pageBreakBefore w:val="0"/>
        <w:widowControl w:val="0"/>
        <w:kinsoku/>
        <w:wordWrap/>
        <w:overflowPunct/>
        <w:topLinePunct w:val="0"/>
        <w:autoSpaceDE/>
        <w:autoSpaceDN/>
        <w:bidi w:val="0"/>
        <w:adjustRightInd w:val="0"/>
        <w:snapToGrid w:val="0"/>
        <w:spacing w:after="313" w:afterLines="100"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综合评分办法</w:t>
      </w:r>
    </w:p>
    <w:p w14:paraId="647899E1">
      <w:pPr>
        <w:pStyle w:val="6"/>
        <w:spacing w:before="11"/>
        <w:rPr>
          <w:sz w:val="10"/>
        </w:rPr>
      </w:pPr>
    </w:p>
    <w:tbl>
      <w:tblPr>
        <w:tblStyle w:val="10"/>
        <w:tblW w:w="0" w:type="auto"/>
        <w:tblInd w:w="5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42"/>
        <w:gridCol w:w="2843"/>
        <w:gridCol w:w="2843"/>
      </w:tblGrid>
      <w:tr w14:paraId="6A6550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7" w:hRule="atLeast"/>
        </w:trPr>
        <w:tc>
          <w:tcPr>
            <w:tcW w:w="2842" w:type="dxa"/>
          </w:tcPr>
          <w:p w14:paraId="34D1B98A">
            <w:pPr>
              <w:pStyle w:val="13"/>
              <w:ind w:left="106" w:right="98"/>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评分项目</w:t>
            </w:r>
          </w:p>
        </w:tc>
        <w:tc>
          <w:tcPr>
            <w:tcW w:w="2843" w:type="dxa"/>
          </w:tcPr>
          <w:p w14:paraId="1251C191">
            <w:pPr>
              <w:pStyle w:val="13"/>
              <w:ind w:left="33" w:right="2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分值区间</w:t>
            </w:r>
          </w:p>
        </w:tc>
        <w:tc>
          <w:tcPr>
            <w:tcW w:w="2843" w:type="dxa"/>
          </w:tcPr>
          <w:p w14:paraId="4DE008DE">
            <w:pPr>
              <w:pStyle w:val="13"/>
              <w:ind w:left="35" w:right="2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评分办法</w:t>
            </w:r>
          </w:p>
        </w:tc>
      </w:tr>
      <w:tr w14:paraId="2503BE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7" w:hRule="atLeast"/>
        </w:trPr>
        <w:tc>
          <w:tcPr>
            <w:tcW w:w="2842" w:type="dxa"/>
          </w:tcPr>
          <w:p w14:paraId="215D05E7">
            <w:pPr>
              <w:pStyle w:val="13"/>
              <w:spacing w:before="2"/>
              <w:ind w:left="108" w:right="98"/>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报价</w:t>
            </w:r>
            <w:r>
              <w:rPr>
                <w:rFonts w:hint="eastAsia" w:asciiTheme="minorEastAsia" w:hAnsiTheme="minorEastAsia" w:eastAsiaTheme="minorEastAsia" w:cstheme="minorEastAsia"/>
                <w:sz w:val="24"/>
                <w:szCs w:val="24"/>
                <w:lang w:val="en-US" w:eastAsia="zh-CN"/>
              </w:rPr>
              <w:t>整体</w:t>
            </w:r>
            <w:r>
              <w:rPr>
                <w:rFonts w:hint="eastAsia" w:asciiTheme="minorEastAsia" w:hAnsiTheme="minorEastAsia" w:eastAsiaTheme="minorEastAsia" w:cstheme="minorEastAsia"/>
                <w:sz w:val="24"/>
                <w:szCs w:val="24"/>
              </w:rPr>
              <w:t>分</w:t>
            </w:r>
          </w:p>
        </w:tc>
        <w:tc>
          <w:tcPr>
            <w:tcW w:w="2843" w:type="dxa"/>
          </w:tcPr>
          <w:p w14:paraId="277ED0D0">
            <w:pPr>
              <w:pStyle w:val="13"/>
              <w:ind w:left="33" w:right="2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w:t>
            </w:r>
          </w:p>
        </w:tc>
        <w:tc>
          <w:tcPr>
            <w:tcW w:w="2843" w:type="dxa"/>
          </w:tcPr>
          <w:p w14:paraId="19E07A01">
            <w:pPr>
              <w:pStyle w:val="13"/>
              <w:spacing w:before="2"/>
              <w:ind w:left="35" w:right="2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报价分＝有效</w:t>
            </w:r>
            <w:r>
              <w:rPr>
                <w:rFonts w:hint="eastAsia" w:asciiTheme="minorEastAsia" w:hAnsiTheme="minorEastAsia" w:eastAsiaTheme="minorEastAsia" w:cstheme="minorEastAsia"/>
                <w:sz w:val="24"/>
                <w:szCs w:val="24"/>
                <w:lang w:val="en-US" w:eastAsia="zh-CN"/>
              </w:rPr>
              <w:t>最低</w:t>
            </w:r>
            <w:r>
              <w:rPr>
                <w:rFonts w:hint="eastAsia" w:asciiTheme="minorEastAsia" w:hAnsiTheme="minorEastAsia" w:eastAsiaTheme="minorEastAsia" w:cstheme="minorEastAsia"/>
                <w:sz w:val="24"/>
                <w:szCs w:val="24"/>
              </w:rPr>
              <w:t>报价/</w:t>
            </w:r>
            <w:r>
              <w:rPr>
                <w:rFonts w:hint="eastAsia" w:asciiTheme="minorEastAsia" w:hAnsiTheme="minorEastAsia" w:eastAsiaTheme="minorEastAsia" w:cstheme="minorEastAsia"/>
                <w:sz w:val="24"/>
                <w:szCs w:val="24"/>
                <w:lang w:val="en-US" w:eastAsia="zh-CN"/>
              </w:rPr>
              <w:t>投标</w:t>
            </w:r>
            <w:r>
              <w:rPr>
                <w:rFonts w:hint="eastAsia" w:asciiTheme="minorEastAsia" w:hAnsiTheme="minorEastAsia" w:eastAsiaTheme="minorEastAsia" w:cstheme="minorEastAsia"/>
                <w:sz w:val="24"/>
                <w:szCs w:val="24"/>
              </w:rPr>
              <w:t>报价*10</w:t>
            </w:r>
          </w:p>
        </w:tc>
      </w:tr>
      <w:tr w14:paraId="7DF01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7" w:hRule="atLeast"/>
        </w:trPr>
        <w:tc>
          <w:tcPr>
            <w:tcW w:w="2842" w:type="dxa"/>
          </w:tcPr>
          <w:p w14:paraId="7404B1A2">
            <w:pPr>
              <w:pStyle w:val="13"/>
              <w:spacing w:before="2"/>
              <w:ind w:left="108" w:right="98"/>
              <w:jc w:val="center"/>
              <w:rPr>
                <w:rFonts w:hint="eastAsia" w:asciiTheme="minorEastAsia" w:hAnsiTheme="minorEastAsia" w:eastAsiaTheme="minorEastAsia" w:cstheme="minorEastAsia"/>
                <w:sz w:val="24"/>
                <w:szCs w:val="24"/>
                <w:lang w:val="en-US" w:eastAsia="zh-CN"/>
              </w:rPr>
            </w:pPr>
          </w:p>
          <w:p w14:paraId="2DF338E6">
            <w:pPr>
              <w:pStyle w:val="13"/>
              <w:spacing w:before="2"/>
              <w:ind w:left="108" w:right="98"/>
              <w:jc w:val="center"/>
              <w:rPr>
                <w:rFonts w:hint="eastAsia" w:asciiTheme="minorEastAsia" w:hAnsiTheme="minorEastAsia" w:eastAsiaTheme="minorEastAsia" w:cstheme="minorEastAsia"/>
                <w:sz w:val="24"/>
                <w:szCs w:val="24"/>
                <w:lang w:val="en-US" w:eastAsia="zh-CN"/>
              </w:rPr>
            </w:pPr>
          </w:p>
          <w:p w14:paraId="6CD925C6">
            <w:pPr>
              <w:pStyle w:val="13"/>
              <w:spacing w:before="2"/>
              <w:ind w:left="108" w:right="98"/>
              <w:jc w:val="center"/>
              <w:rPr>
                <w:rFonts w:hint="eastAsia" w:asciiTheme="minorEastAsia" w:hAnsiTheme="minorEastAsia" w:eastAsiaTheme="minorEastAsia" w:cstheme="minorEastAsia"/>
                <w:sz w:val="24"/>
                <w:szCs w:val="24"/>
                <w:lang w:val="en-US" w:eastAsia="zh-CN"/>
              </w:rPr>
            </w:pPr>
          </w:p>
          <w:p w14:paraId="75977EAC">
            <w:pPr>
              <w:pStyle w:val="13"/>
              <w:spacing w:before="2"/>
              <w:ind w:left="108" w:right="98"/>
              <w:jc w:val="center"/>
              <w:rPr>
                <w:rFonts w:hint="eastAsia" w:asciiTheme="minorEastAsia" w:hAnsiTheme="minorEastAsia" w:eastAsiaTheme="minorEastAsia" w:cstheme="minorEastAsia"/>
                <w:sz w:val="24"/>
                <w:szCs w:val="24"/>
                <w:lang w:val="en-US" w:eastAsia="zh-CN"/>
              </w:rPr>
            </w:pPr>
          </w:p>
          <w:p w14:paraId="19F31B9D">
            <w:pPr>
              <w:pStyle w:val="13"/>
              <w:spacing w:before="2"/>
              <w:ind w:left="108" w:right="98"/>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报价分项分</w:t>
            </w:r>
          </w:p>
        </w:tc>
        <w:tc>
          <w:tcPr>
            <w:tcW w:w="2843" w:type="dxa"/>
          </w:tcPr>
          <w:p w14:paraId="185098C5">
            <w:pPr>
              <w:pStyle w:val="13"/>
              <w:ind w:left="33" w:right="27"/>
              <w:jc w:val="center"/>
              <w:rPr>
                <w:rFonts w:hint="eastAsia" w:asciiTheme="minorEastAsia" w:hAnsiTheme="minorEastAsia" w:eastAsiaTheme="minorEastAsia" w:cstheme="minorEastAsia"/>
                <w:sz w:val="24"/>
                <w:szCs w:val="24"/>
                <w:lang w:val="en-US" w:eastAsia="zh-CN"/>
              </w:rPr>
            </w:pPr>
          </w:p>
          <w:p w14:paraId="742C4253">
            <w:pPr>
              <w:pStyle w:val="13"/>
              <w:ind w:left="33" w:right="27"/>
              <w:jc w:val="center"/>
              <w:rPr>
                <w:rFonts w:hint="eastAsia" w:asciiTheme="minorEastAsia" w:hAnsiTheme="minorEastAsia" w:eastAsiaTheme="minorEastAsia" w:cstheme="minorEastAsia"/>
                <w:sz w:val="24"/>
                <w:szCs w:val="24"/>
                <w:lang w:val="en-US" w:eastAsia="zh-CN"/>
              </w:rPr>
            </w:pPr>
          </w:p>
          <w:p w14:paraId="76F8300F">
            <w:pPr>
              <w:pStyle w:val="13"/>
              <w:ind w:left="33" w:right="27"/>
              <w:jc w:val="center"/>
              <w:rPr>
                <w:rFonts w:hint="eastAsia" w:asciiTheme="minorEastAsia" w:hAnsiTheme="minorEastAsia" w:eastAsiaTheme="minorEastAsia" w:cstheme="minorEastAsia"/>
                <w:sz w:val="24"/>
                <w:szCs w:val="24"/>
                <w:lang w:val="en-US" w:eastAsia="zh-CN"/>
              </w:rPr>
            </w:pPr>
          </w:p>
          <w:p w14:paraId="59EE0E4B">
            <w:pPr>
              <w:pStyle w:val="13"/>
              <w:ind w:left="33" w:right="27"/>
              <w:jc w:val="center"/>
              <w:rPr>
                <w:rFonts w:hint="eastAsia" w:asciiTheme="minorEastAsia" w:hAnsiTheme="minorEastAsia" w:eastAsiaTheme="minorEastAsia" w:cstheme="minorEastAsia"/>
                <w:sz w:val="24"/>
                <w:szCs w:val="24"/>
                <w:lang w:val="en-US" w:eastAsia="zh-CN"/>
              </w:rPr>
            </w:pPr>
          </w:p>
          <w:p w14:paraId="40ED44EE">
            <w:pPr>
              <w:pStyle w:val="13"/>
              <w:ind w:right="27" w:firstLine="1440" w:firstLineChars="6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w:t>
            </w:r>
          </w:p>
        </w:tc>
        <w:tc>
          <w:tcPr>
            <w:tcW w:w="2843" w:type="dxa"/>
          </w:tcPr>
          <w:p w14:paraId="304659CC">
            <w:pPr>
              <w:pStyle w:val="13"/>
              <w:spacing w:before="2"/>
              <w:ind w:left="35" w:right="2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包含厦门出发返回机票、酒店住宿（含早餐）、交通工具（含景区交通）、餐费（含午餐、晚餐）、景区门票、保险、旅游地导司人员</w:t>
            </w:r>
          </w:p>
          <w:p w14:paraId="63888624">
            <w:pPr>
              <w:pStyle w:val="13"/>
              <w:spacing w:before="2"/>
              <w:ind w:left="35" w:right="27"/>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等费用，有一项偏差扣1分，直至本项分值扣完。</w:t>
            </w:r>
          </w:p>
        </w:tc>
      </w:tr>
      <w:tr w14:paraId="3A2C0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17" w:hRule="atLeast"/>
        </w:trPr>
        <w:tc>
          <w:tcPr>
            <w:tcW w:w="2842" w:type="dxa"/>
          </w:tcPr>
          <w:p w14:paraId="021BDC71">
            <w:pPr>
              <w:pStyle w:val="13"/>
              <w:spacing w:before="2"/>
              <w:ind w:left="108" w:right="98"/>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p>
          <w:p w14:paraId="7A5BBCD0">
            <w:pPr>
              <w:pStyle w:val="13"/>
              <w:spacing w:before="2"/>
              <w:ind w:left="108" w:right="98"/>
              <w:jc w:val="both"/>
              <w:rPr>
                <w:rFonts w:hint="eastAsia" w:asciiTheme="minorEastAsia" w:hAnsiTheme="minorEastAsia" w:eastAsiaTheme="minorEastAsia" w:cstheme="minorEastAsia"/>
                <w:sz w:val="24"/>
                <w:szCs w:val="24"/>
                <w:lang w:val="en-US" w:eastAsia="zh-CN"/>
              </w:rPr>
            </w:pPr>
          </w:p>
          <w:p w14:paraId="1A5ADDB4">
            <w:pPr>
              <w:pStyle w:val="13"/>
              <w:spacing w:before="2"/>
              <w:ind w:left="108" w:right="98"/>
              <w:jc w:val="both"/>
              <w:rPr>
                <w:rFonts w:hint="eastAsia" w:asciiTheme="minorEastAsia" w:hAnsiTheme="minorEastAsia" w:eastAsiaTheme="minorEastAsia" w:cstheme="minorEastAsia"/>
                <w:sz w:val="24"/>
                <w:szCs w:val="24"/>
                <w:lang w:val="en-US" w:eastAsia="zh-CN"/>
              </w:rPr>
            </w:pPr>
          </w:p>
          <w:p w14:paraId="6263785A">
            <w:pPr>
              <w:pStyle w:val="13"/>
              <w:spacing w:before="2"/>
              <w:ind w:left="108" w:right="98"/>
              <w:jc w:val="both"/>
              <w:rPr>
                <w:rFonts w:hint="eastAsia" w:asciiTheme="minorEastAsia" w:hAnsiTheme="minorEastAsia" w:eastAsiaTheme="minorEastAsia" w:cstheme="minorEastAsia"/>
                <w:sz w:val="24"/>
                <w:szCs w:val="24"/>
                <w:lang w:val="en-US" w:eastAsia="zh-CN"/>
              </w:rPr>
            </w:pPr>
          </w:p>
          <w:p w14:paraId="4F6F3267">
            <w:pPr>
              <w:pStyle w:val="13"/>
              <w:spacing w:before="2"/>
              <w:ind w:left="108" w:right="98"/>
              <w:jc w:val="both"/>
              <w:rPr>
                <w:rFonts w:hint="eastAsia" w:asciiTheme="minorEastAsia" w:hAnsiTheme="minorEastAsia" w:eastAsiaTheme="minorEastAsia" w:cstheme="minorEastAsia"/>
                <w:sz w:val="24"/>
                <w:szCs w:val="24"/>
                <w:lang w:val="en-US" w:eastAsia="zh-CN"/>
              </w:rPr>
            </w:pPr>
          </w:p>
          <w:p w14:paraId="7404B1D8">
            <w:pPr>
              <w:pStyle w:val="13"/>
              <w:spacing w:before="2"/>
              <w:ind w:left="108" w:right="98"/>
              <w:jc w:val="both"/>
              <w:rPr>
                <w:rFonts w:hint="eastAsia" w:asciiTheme="minorEastAsia" w:hAnsiTheme="minorEastAsia" w:eastAsiaTheme="minorEastAsia" w:cstheme="minorEastAsia"/>
                <w:sz w:val="24"/>
                <w:szCs w:val="24"/>
                <w:lang w:val="en-US" w:eastAsia="zh-CN"/>
              </w:rPr>
            </w:pPr>
          </w:p>
          <w:p w14:paraId="7838B139">
            <w:pPr>
              <w:pStyle w:val="13"/>
              <w:spacing w:before="2"/>
              <w:ind w:left="108" w:right="98"/>
              <w:jc w:val="both"/>
              <w:rPr>
                <w:rFonts w:hint="eastAsia" w:asciiTheme="minorEastAsia" w:hAnsiTheme="minorEastAsia" w:eastAsiaTheme="minorEastAsia" w:cstheme="minorEastAsia"/>
                <w:sz w:val="24"/>
                <w:szCs w:val="24"/>
                <w:lang w:val="en-US" w:eastAsia="zh-CN"/>
              </w:rPr>
            </w:pPr>
          </w:p>
          <w:p w14:paraId="1960ABDD">
            <w:pPr>
              <w:pStyle w:val="13"/>
              <w:spacing w:before="2"/>
              <w:ind w:left="108" w:right="98"/>
              <w:jc w:val="both"/>
              <w:rPr>
                <w:rFonts w:hint="eastAsia" w:asciiTheme="minorEastAsia" w:hAnsiTheme="minorEastAsia" w:eastAsiaTheme="minorEastAsia" w:cstheme="minorEastAsia"/>
                <w:sz w:val="24"/>
                <w:szCs w:val="24"/>
                <w:lang w:val="en-US" w:eastAsia="zh-CN"/>
              </w:rPr>
            </w:pPr>
          </w:p>
          <w:p w14:paraId="1F0241A3">
            <w:pPr>
              <w:pStyle w:val="13"/>
              <w:spacing w:before="2"/>
              <w:ind w:left="108" w:right="98"/>
              <w:jc w:val="both"/>
              <w:rPr>
                <w:rFonts w:hint="eastAsia" w:asciiTheme="minorEastAsia" w:hAnsiTheme="minorEastAsia" w:eastAsiaTheme="minorEastAsia" w:cstheme="minorEastAsia"/>
                <w:sz w:val="24"/>
                <w:szCs w:val="24"/>
                <w:lang w:val="en-US" w:eastAsia="zh-CN"/>
              </w:rPr>
            </w:pPr>
          </w:p>
          <w:p w14:paraId="79048F52">
            <w:pPr>
              <w:pStyle w:val="13"/>
              <w:spacing w:before="2"/>
              <w:ind w:left="108" w:right="98" w:firstLine="720" w:firstLineChars="3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商务技术分</w:t>
            </w:r>
          </w:p>
        </w:tc>
        <w:tc>
          <w:tcPr>
            <w:tcW w:w="2843" w:type="dxa"/>
          </w:tcPr>
          <w:p w14:paraId="468893DE">
            <w:pPr>
              <w:pStyle w:val="13"/>
              <w:ind w:right="27"/>
              <w:jc w:val="both"/>
              <w:rPr>
                <w:rFonts w:hint="eastAsia" w:asciiTheme="minorEastAsia" w:hAnsiTheme="minorEastAsia" w:eastAsiaTheme="minorEastAsia" w:cstheme="minorEastAsia"/>
                <w:sz w:val="24"/>
                <w:szCs w:val="24"/>
                <w:lang w:val="en-US" w:eastAsia="zh-CN"/>
              </w:rPr>
            </w:pPr>
          </w:p>
          <w:p w14:paraId="6FF5DAB2">
            <w:pPr>
              <w:pStyle w:val="13"/>
              <w:ind w:right="27"/>
              <w:jc w:val="both"/>
              <w:rPr>
                <w:rFonts w:hint="eastAsia" w:asciiTheme="minorEastAsia" w:hAnsiTheme="minorEastAsia" w:eastAsiaTheme="minorEastAsia" w:cstheme="minorEastAsia"/>
                <w:sz w:val="24"/>
                <w:szCs w:val="24"/>
                <w:lang w:val="en-US" w:eastAsia="zh-CN"/>
              </w:rPr>
            </w:pPr>
          </w:p>
          <w:p w14:paraId="6C0FC3E7">
            <w:pPr>
              <w:pStyle w:val="13"/>
              <w:ind w:right="27"/>
              <w:jc w:val="both"/>
              <w:rPr>
                <w:rFonts w:hint="eastAsia" w:asciiTheme="minorEastAsia" w:hAnsiTheme="minorEastAsia" w:eastAsiaTheme="minorEastAsia" w:cstheme="minorEastAsia"/>
                <w:sz w:val="24"/>
                <w:szCs w:val="24"/>
                <w:lang w:val="en-US" w:eastAsia="zh-CN"/>
              </w:rPr>
            </w:pPr>
          </w:p>
          <w:p w14:paraId="3D2B9852">
            <w:pPr>
              <w:pStyle w:val="13"/>
              <w:ind w:right="27"/>
              <w:jc w:val="both"/>
              <w:rPr>
                <w:rFonts w:hint="eastAsia" w:asciiTheme="minorEastAsia" w:hAnsiTheme="minorEastAsia" w:eastAsiaTheme="minorEastAsia" w:cstheme="minorEastAsia"/>
                <w:sz w:val="24"/>
                <w:szCs w:val="24"/>
                <w:lang w:val="en-US" w:eastAsia="zh-CN"/>
              </w:rPr>
            </w:pPr>
          </w:p>
          <w:p w14:paraId="42D7E943">
            <w:pPr>
              <w:pStyle w:val="13"/>
              <w:ind w:right="27"/>
              <w:jc w:val="both"/>
              <w:rPr>
                <w:rFonts w:hint="eastAsia" w:asciiTheme="minorEastAsia" w:hAnsiTheme="minorEastAsia" w:eastAsiaTheme="minorEastAsia" w:cstheme="minorEastAsia"/>
                <w:sz w:val="24"/>
                <w:szCs w:val="24"/>
                <w:lang w:val="en-US" w:eastAsia="zh-CN"/>
              </w:rPr>
            </w:pPr>
          </w:p>
          <w:p w14:paraId="3429A087">
            <w:pPr>
              <w:pStyle w:val="13"/>
              <w:ind w:right="27"/>
              <w:jc w:val="both"/>
              <w:rPr>
                <w:rFonts w:hint="eastAsia" w:asciiTheme="minorEastAsia" w:hAnsiTheme="minorEastAsia" w:eastAsiaTheme="minorEastAsia" w:cstheme="minorEastAsia"/>
                <w:sz w:val="24"/>
                <w:szCs w:val="24"/>
                <w:lang w:val="en-US" w:eastAsia="zh-CN"/>
              </w:rPr>
            </w:pPr>
          </w:p>
          <w:p w14:paraId="73EB1609">
            <w:pPr>
              <w:pStyle w:val="13"/>
              <w:ind w:right="27"/>
              <w:jc w:val="both"/>
              <w:rPr>
                <w:rFonts w:hint="eastAsia" w:asciiTheme="minorEastAsia" w:hAnsiTheme="minorEastAsia" w:eastAsiaTheme="minorEastAsia" w:cstheme="minorEastAsia"/>
                <w:sz w:val="24"/>
                <w:szCs w:val="24"/>
                <w:lang w:val="en-US" w:eastAsia="zh-CN"/>
              </w:rPr>
            </w:pPr>
          </w:p>
          <w:p w14:paraId="01805782">
            <w:pPr>
              <w:pStyle w:val="13"/>
              <w:ind w:right="27"/>
              <w:jc w:val="both"/>
              <w:rPr>
                <w:rFonts w:hint="eastAsia" w:asciiTheme="minorEastAsia" w:hAnsiTheme="minorEastAsia" w:eastAsiaTheme="minorEastAsia" w:cstheme="minorEastAsia"/>
                <w:sz w:val="24"/>
                <w:szCs w:val="24"/>
                <w:lang w:val="en-US" w:eastAsia="zh-CN"/>
              </w:rPr>
            </w:pPr>
          </w:p>
          <w:p w14:paraId="3B0CC55A">
            <w:pPr>
              <w:pStyle w:val="13"/>
              <w:ind w:right="27"/>
              <w:jc w:val="both"/>
              <w:rPr>
                <w:rFonts w:hint="eastAsia" w:asciiTheme="minorEastAsia" w:hAnsiTheme="minorEastAsia" w:eastAsiaTheme="minorEastAsia" w:cstheme="minorEastAsia"/>
                <w:sz w:val="24"/>
                <w:szCs w:val="24"/>
                <w:lang w:val="en-US" w:eastAsia="zh-CN"/>
              </w:rPr>
            </w:pPr>
          </w:p>
          <w:p w14:paraId="17163AE7">
            <w:pPr>
              <w:pStyle w:val="13"/>
              <w:ind w:right="27" w:firstLine="1200" w:firstLineChars="5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17</w:t>
            </w:r>
          </w:p>
        </w:tc>
        <w:tc>
          <w:tcPr>
            <w:tcW w:w="2843" w:type="dxa"/>
          </w:tcPr>
          <w:p w14:paraId="3E8E1387">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1、旅游地点为福建省外（除西安、桂林、阳朔、南京、扬州、温州、潮州、汕头、婺源（含三清山）、金门等已组织外）；一个方案地得1分，本项最高得3分。</w:t>
            </w:r>
          </w:p>
          <w:p w14:paraId="04D581C6">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2、出发返回时间早出晚归（或根据旅游地机票情况而定），早出晚归得2分，其它得1分。</w:t>
            </w:r>
          </w:p>
          <w:p w14:paraId="639CDC8A">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3、酒店住宿当地三星以上，五星酒店得3分、四星酒店得2分、三星及快捷酒店得1分。</w:t>
            </w:r>
          </w:p>
          <w:p w14:paraId="03D6661A">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4、餐费不低于30元/人/餐；餐费50元/人/餐得3分，40元/人/餐得2分，30元/人/餐得1分。</w:t>
            </w:r>
          </w:p>
          <w:p w14:paraId="66B839A1">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5、至少提供1个旅游方案供选择；提供1个旅游方案得1分，提供2个旅游方案得2分、提供3个方案得3分，本项最高得3分。</w:t>
            </w:r>
          </w:p>
          <w:p w14:paraId="27EAB340">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6、至少指定一名人员（不含地接）负责对接事务，提供联系方式；指定1名对接人员得1分，指定2名对接人员得2分，本项最高得分2分。</w:t>
            </w:r>
          </w:p>
          <w:p w14:paraId="771F926B">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7、费用结算为旅游返程结束收到发票后七个工作日，凭已与采购单位核对对账单及发票结款。得1分。</w:t>
            </w:r>
          </w:p>
        </w:tc>
      </w:tr>
      <w:tr w14:paraId="111D7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2" w:hRule="atLeast"/>
        </w:trPr>
        <w:tc>
          <w:tcPr>
            <w:tcW w:w="2842" w:type="dxa"/>
          </w:tcPr>
          <w:p w14:paraId="6A5E14B7">
            <w:pPr>
              <w:pStyle w:val="13"/>
              <w:spacing w:line="269" w:lineRule="exact"/>
              <w:ind w:left="108" w:right="98"/>
              <w:jc w:val="center"/>
              <w:rPr>
                <w:rFonts w:hint="eastAsia" w:asciiTheme="minorEastAsia" w:hAnsiTheme="minorEastAsia" w:eastAsiaTheme="minorEastAsia" w:cstheme="minorEastAsia"/>
                <w:sz w:val="24"/>
                <w:szCs w:val="24"/>
              </w:rPr>
            </w:pPr>
          </w:p>
          <w:p w14:paraId="1C463BE8">
            <w:pPr>
              <w:pStyle w:val="13"/>
              <w:spacing w:line="269" w:lineRule="exact"/>
              <w:ind w:left="108" w:right="98"/>
              <w:jc w:val="center"/>
              <w:rPr>
                <w:rFonts w:hint="eastAsia" w:asciiTheme="minorEastAsia" w:hAnsiTheme="minorEastAsia" w:eastAsiaTheme="minorEastAsia" w:cstheme="minorEastAsia"/>
                <w:sz w:val="24"/>
                <w:szCs w:val="24"/>
                <w:lang w:val="en-US" w:eastAsia="zh-CN"/>
              </w:rPr>
            </w:pPr>
          </w:p>
          <w:p w14:paraId="25251545">
            <w:pPr>
              <w:pStyle w:val="13"/>
              <w:spacing w:line="269" w:lineRule="exact"/>
              <w:ind w:left="108" w:right="98"/>
              <w:jc w:val="center"/>
              <w:rPr>
                <w:rFonts w:hint="eastAsia" w:asciiTheme="minorEastAsia" w:hAnsiTheme="minorEastAsia" w:eastAsiaTheme="minorEastAsia" w:cstheme="minorEastAsia"/>
                <w:sz w:val="24"/>
                <w:szCs w:val="24"/>
                <w:lang w:val="en-US" w:eastAsia="zh-CN"/>
              </w:rPr>
            </w:pPr>
          </w:p>
          <w:p w14:paraId="799FACE1">
            <w:pPr>
              <w:pStyle w:val="13"/>
              <w:spacing w:line="269" w:lineRule="exact"/>
              <w:ind w:left="108" w:right="98"/>
              <w:jc w:val="center"/>
              <w:rPr>
                <w:rFonts w:hint="eastAsia" w:asciiTheme="minorEastAsia" w:hAnsiTheme="minorEastAsia" w:eastAsiaTheme="minorEastAsia" w:cstheme="minorEastAsia"/>
                <w:sz w:val="24"/>
                <w:szCs w:val="24"/>
                <w:lang w:val="en-US" w:eastAsia="zh-CN"/>
              </w:rPr>
            </w:pPr>
          </w:p>
          <w:p w14:paraId="0A52A80E">
            <w:pPr>
              <w:pStyle w:val="13"/>
              <w:spacing w:line="269" w:lineRule="exact"/>
              <w:ind w:left="108" w:right="98"/>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行程线路设计方案</w:t>
            </w:r>
          </w:p>
        </w:tc>
        <w:tc>
          <w:tcPr>
            <w:tcW w:w="2843" w:type="dxa"/>
          </w:tcPr>
          <w:p w14:paraId="09935987">
            <w:pPr>
              <w:pStyle w:val="13"/>
              <w:ind w:left="33" w:right="27"/>
              <w:jc w:val="center"/>
              <w:rPr>
                <w:rFonts w:hint="eastAsia" w:asciiTheme="minorEastAsia" w:hAnsiTheme="minorEastAsia" w:eastAsiaTheme="minorEastAsia" w:cstheme="minorEastAsia"/>
                <w:sz w:val="24"/>
                <w:szCs w:val="24"/>
              </w:rPr>
            </w:pPr>
          </w:p>
          <w:p w14:paraId="3A4B440A">
            <w:pPr>
              <w:pStyle w:val="13"/>
              <w:ind w:left="33" w:right="27"/>
              <w:jc w:val="center"/>
              <w:rPr>
                <w:rFonts w:hint="eastAsia" w:asciiTheme="minorEastAsia" w:hAnsiTheme="minorEastAsia" w:eastAsiaTheme="minorEastAsia" w:cstheme="minorEastAsia"/>
                <w:sz w:val="24"/>
                <w:szCs w:val="24"/>
                <w:lang w:val="en-US" w:eastAsia="zh-CN"/>
              </w:rPr>
            </w:pPr>
          </w:p>
          <w:p w14:paraId="723DD3E2">
            <w:pPr>
              <w:pStyle w:val="13"/>
              <w:ind w:left="33" w:right="27"/>
              <w:jc w:val="center"/>
              <w:rPr>
                <w:rFonts w:hint="eastAsia" w:asciiTheme="minorEastAsia" w:hAnsiTheme="minorEastAsia" w:eastAsiaTheme="minorEastAsia" w:cstheme="minorEastAsia"/>
                <w:sz w:val="24"/>
                <w:szCs w:val="24"/>
                <w:lang w:val="en-US" w:eastAsia="zh-CN"/>
              </w:rPr>
            </w:pPr>
          </w:p>
          <w:p w14:paraId="4DCB8164">
            <w:pPr>
              <w:pStyle w:val="13"/>
              <w:ind w:left="33" w:right="27"/>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15</w:t>
            </w:r>
          </w:p>
        </w:tc>
        <w:tc>
          <w:tcPr>
            <w:tcW w:w="2843" w:type="dxa"/>
          </w:tcPr>
          <w:p w14:paraId="7EBD5D07">
            <w:pPr>
              <w:pStyle w:val="13"/>
              <w:spacing w:line="269" w:lineRule="exact"/>
              <w:ind w:left="161"/>
              <w:rPr>
                <w:rFonts w:hint="eastAsia" w:asciiTheme="minorEastAsia" w:hAnsiTheme="minorEastAsia" w:eastAsiaTheme="minorEastAsia" w:cstheme="minorEastAsia"/>
                <w:sz w:val="24"/>
                <w:szCs w:val="24"/>
              </w:rPr>
            </w:pPr>
          </w:p>
          <w:p w14:paraId="7F95EAF8">
            <w:pPr>
              <w:pStyle w:val="13"/>
              <w:spacing w:line="269" w:lineRule="exact"/>
              <w:ind w:left="1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根据行程路线设计的合理性进行综合评定。方案针对性、</w:t>
            </w:r>
            <w:r>
              <w:rPr>
                <w:rFonts w:hint="eastAsia" w:asciiTheme="minorEastAsia" w:hAnsiTheme="minorEastAsia" w:eastAsiaTheme="minorEastAsia" w:cstheme="minorEastAsia"/>
                <w:spacing w:val="-6"/>
                <w:sz w:val="24"/>
                <w:szCs w:val="24"/>
              </w:rPr>
              <w:t xml:space="preserve">保障性和操作性强得 </w:t>
            </w:r>
            <w:r>
              <w:rPr>
                <w:rFonts w:hint="eastAsia" w:asciiTheme="minorEastAsia" w:hAnsiTheme="minorEastAsia" w:eastAsiaTheme="minorEastAsia" w:cstheme="minorEastAsia"/>
                <w:spacing w:val="-6"/>
                <w:sz w:val="24"/>
                <w:szCs w:val="24"/>
                <w:lang w:val="en-US" w:eastAsia="zh-CN"/>
              </w:rPr>
              <w:t>13</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pacing w:val="-12"/>
                <w:w w:val="95"/>
                <w:sz w:val="24"/>
                <w:szCs w:val="24"/>
              </w:rPr>
              <w:t>分；方案合理，但针对性、具</w:t>
            </w:r>
            <w:r>
              <w:rPr>
                <w:rFonts w:hint="eastAsia" w:asciiTheme="minorEastAsia" w:hAnsiTheme="minorEastAsia" w:eastAsiaTheme="minorEastAsia" w:cstheme="minorEastAsia"/>
                <w:sz w:val="24"/>
                <w:szCs w:val="24"/>
              </w:rPr>
              <w:t>体性、操作性有欠缺的，得</w:t>
            </w:r>
            <w:r>
              <w:rPr>
                <w:rFonts w:hint="eastAsia" w:asciiTheme="minorEastAsia" w:hAnsiTheme="minorEastAsia" w:eastAsiaTheme="minorEastAsia" w:cstheme="minorEastAsia"/>
                <w:sz w:val="24"/>
                <w:szCs w:val="24"/>
                <w:lang w:val="en-US" w:eastAsia="zh-CN"/>
              </w:rPr>
              <w:t>7-9</w:t>
            </w:r>
            <w:r>
              <w:rPr>
                <w:rFonts w:hint="eastAsia" w:asciiTheme="minorEastAsia" w:hAnsiTheme="minorEastAsia" w:eastAsiaTheme="minorEastAsia" w:cstheme="minorEastAsia"/>
                <w:spacing w:val="-11"/>
                <w:sz w:val="24"/>
                <w:szCs w:val="24"/>
              </w:rPr>
              <w:t>分；方案一般，且针对性、具体性、操作性欠缺的：得</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分。</w:t>
            </w:r>
          </w:p>
        </w:tc>
      </w:tr>
    </w:tbl>
    <w:p w14:paraId="713BFF52">
      <w:pPr>
        <w:pStyle w:val="6"/>
        <w:spacing w:before="11"/>
        <w:rPr>
          <w:rFonts w:hint="eastAsia" w:asciiTheme="minorEastAsia" w:hAnsiTheme="minorEastAsia" w:eastAsiaTheme="minorEastAsia" w:cstheme="minorEastAsia"/>
          <w:sz w:val="24"/>
          <w:szCs w:val="24"/>
        </w:rPr>
      </w:pPr>
    </w:p>
    <w:p w14:paraId="35E163A1">
      <w:pPr>
        <w:rPr>
          <w:rFonts w:hint="eastAsia" w:asciiTheme="minorEastAsia" w:hAnsiTheme="minorEastAsia" w:eastAsiaTheme="minorEastAsia" w:cstheme="minorEastAsia"/>
          <w:sz w:val="24"/>
          <w:szCs w:val="24"/>
        </w:rPr>
      </w:pPr>
    </w:p>
    <w:p w14:paraId="3689299B">
      <w:pPr>
        <w:rPr>
          <w:rFonts w:hint="eastAsia" w:asciiTheme="minorEastAsia" w:hAnsiTheme="minorEastAsia" w:eastAsiaTheme="minorEastAsia" w:cstheme="minorEastAsia"/>
          <w:sz w:val="24"/>
          <w:szCs w:val="24"/>
        </w:rPr>
      </w:pPr>
    </w:p>
    <w:p w14:paraId="2679B6FC">
      <w:pPr>
        <w:rPr>
          <w:rFonts w:hint="eastAsia" w:asciiTheme="minorEastAsia" w:hAnsiTheme="minorEastAsia" w:eastAsiaTheme="minorEastAsia" w:cstheme="minorEastAsia"/>
          <w:sz w:val="24"/>
          <w:szCs w:val="24"/>
        </w:rPr>
      </w:pPr>
    </w:p>
    <w:p w14:paraId="0A8379A8">
      <w:pPr>
        <w:rPr>
          <w:rFonts w:hint="eastAsia" w:asciiTheme="minorEastAsia" w:hAnsiTheme="minorEastAsia" w:eastAsiaTheme="minorEastAsia" w:cstheme="minorEastAsia"/>
          <w:sz w:val="24"/>
          <w:szCs w:val="24"/>
        </w:rPr>
      </w:pPr>
    </w:p>
    <w:p w14:paraId="361985F6">
      <w:pPr>
        <w:rPr>
          <w:rFonts w:hint="eastAsia" w:asciiTheme="minorEastAsia" w:hAnsiTheme="minorEastAsia" w:eastAsiaTheme="minorEastAsia" w:cstheme="minorEastAsia"/>
          <w:sz w:val="24"/>
          <w:szCs w:val="24"/>
        </w:rPr>
      </w:pPr>
    </w:p>
    <w:p w14:paraId="6660BC6A">
      <w:pPr>
        <w:rPr>
          <w:rFonts w:hint="eastAsia" w:asciiTheme="minorEastAsia" w:hAnsiTheme="minorEastAsia" w:eastAsiaTheme="minorEastAsia" w:cstheme="minorEastAsia"/>
          <w:sz w:val="24"/>
          <w:szCs w:val="24"/>
        </w:rPr>
      </w:pPr>
    </w:p>
    <w:p w14:paraId="642821ED">
      <w:pPr>
        <w:rPr>
          <w:rFonts w:hint="eastAsia" w:asciiTheme="minorEastAsia" w:hAnsiTheme="minorEastAsia" w:eastAsiaTheme="minorEastAsia" w:cstheme="minorEastAsia"/>
          <w:sz w:val="24"/>
          <w:szCs w:val="24"/>
        </w:rPr>
      </w:pPr>
    </w:p>
    <w:p w14:paraId="448A62BA">
      <w:pPr>
        <w:pStyle w:val="3"/>
        <w:spacing w:before="0"/>
        <w:jc w:val="both"/>
        <w:rPr>
          <w:rFonts w:hint="eastAsia" w:asciiTheme="minorEastAsia" w:hAnsiTheme="minorEastAsia" w:eastAsiaTheme="minorEastAsia" w:cstheme="minorEastAsia"/>
          <w:sz w:val="24"/>
          <w:szCs w:val="24"/>
        </w:rPr>
        <w:sectPr>
          <w:pgSz w:w="11910" w:h="16840"/>
          <w:pgMar w:top="1380" w:right="0" w:bottom="280" w:left="1140" w:header="904" w:footer="0" w:gutter="0"/>
          <w:cols w:space="720" w:num="1"/>
        </w:sectPr>
      </w:pPr>
    </w:p>
    <w:p w14:paraId="150469B4">
      <w:pPr>
        <w:pStyle w:val="6"/>
        <w:spacing w:before="11"/>
        <w:rPr>
          <w:rFonts w:hint="eastAsia" w:asciiTheme="minorEastAsia" w:hAnsiTheme="minorEastAsia" w:eastAsiaTheme="minorEastAsia" w:cstheme="minorEastAsia"/>
          <w:sz w:val="24"/>
          <w:szCs w:val="24"/>
        </w:rPr>
      </w:pPr>
    </w:p>
    <w:tbl>
      <w:tblPr>
        <w:tblStyle w:val="10"/>
        <w:tblW w:w="8528" w:type="dxa"/>
        <w:tblInd w:w="5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42"/>
        <w:gridCol w:w="2843"/>
        <w:gridCol w:w="2843"/>
      </w:tblGrid>
      <w:tr w14:paraId="3D3E3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1" w:hRule="atLeast"/>
        </w:trPr>
        <w:tc>
          <w:tcPr>
            <w:tcW w:w="2842" w:type="dxa"/>
          </w:tcPr>
          <w:p w14:paraId="02287798">
            <w:pPr>
              <w:pStyle w:val="13"/>
              <w:rPr>
                <w:rFonts w:hint="eastAsia" w:asciiTheme="minorEastAsia" w:hAnsiTheme="minorEastAsia" w:eastAsiaTheme="minorEastAsia" w:cstheme="minorEastAsia"/>
                <w:sz w:val="24"/>
                <w:szCs w:val="24"/>
                <w:lang w:val="en-US" w:eastAsia="zh-CN"/>
              </w:rPr>
            </w:pPr>
          </w:p>
          <w:p w14:paraId="40861339">
            <w:pPr>
              <w:pStyle w:val="13"/>
              <w:rPr>
                <w:rFonts w:hint="eastAsia" w:asciiTheme="minorEastAsia" w:hAnsiTheme="minorEastAsia" w:eastAsiaTheme="minorEastAsia" w:cstheme="minorEastAsia"/>
                <w:sz w:val="24"/>
                <w:szCs w:val="24"/>
                <w:lang w:val="en-US" w:eastAsia="zh-CN"/>
              </w:rPr>
            </w:pPr>
          </w:p>
          <w:p w14:paraId="5FC28AAB">
            <w:pPr>
              <w:pStyle w:val="13"/>
              <w:rPr>
                <w:rFonts w:hint="eastAsia" w:asciiTheme="minorEastAsia" w:hAnsiTheme="minorEastAsia" w:eastAsiaTheme="minorEastAsia" w:cstheme="minorEastAsia"/>
                <w:sz w:val="24"/>
                <w:szCs w:val="24"/>
                <w:lang w:val="en-US" w:eastAsia="zh-CN"/>
              </w:rPr>
            </w:pPr>
          </w:p>
          <w:p w14:paraId="37A58C35">
            <w:pPr>
              <w:pStyle w:val="13"/>
              <w:rPr>
                <w:rFonts w:hint="eastAsia" w:asciiTheme="minorEastAsia" w:hAnsiTheme="minorEastAsia" w:eastAsiaTheme="minorEastAsia" w:cstheme="minorEastAsia"/>
                <w:sz w:val="24"/>
                <w:szCs w:val="24"/>
                <w:lang w:val="en-US" w:eastAsia="zh-CN"/>
              </w:rPr>
            </w:pPr>
          </w:p>
          <w:p w14:paraId="356EC75C">
            <w:pPr>
              <w:pStyle w:val="13"/>
              <w:rPr>
                <w:rFonts w:hint="eastAsia" w:asciiTheme="minorEastAsia" w:hAnsiTheme="minorEastAsia" w:eastAsiaTheme="minorEastAsia" w:cstheme="minorEastAsia"/>
                <w:sz w:val="24"/>
                <w:szCs w:val="24"/>
                <w:lang w:val="en-US" w:eastAsia="zh-CN"/>
              </w:rPr>
            </w:pPr>
          </w:p>
          <w:p w14:paraId="1A327957">
            <w:pPr>
              <w:pStyle w:val="13"/>
              <w:ind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供应商资质</w:t>
            </w:r>
          </w:p>
        </w:tc>
        <w:tc>
          <w:tcPr>
            <w:tcW w:w="2843" w:type="dxa"/>
          </w:tcPr>
          <w:p w14:paraId="2AA6C1C4">
            <w:pPr>
              <w:pStyle w:val="13"/>
              <w:rPr>
                <w:rFonts w:hint="eastAsia" w:asciiTheme="minorEastAsia" w:hAnsiTheme="minorEastAsia" w:eastAsiaTheme="minorEastAsia" w:cstheme="minorEastAsia"/>
                <w:sz w:val="24"/>
                <w:szCs w:val="24"/>
              </w:rPr>
            </w:pPr>
          </w:p>
          <w:p w14:paraId="65F15B64">
            <w:pPr>
              <w:pStyle w:val="13"/>
              <w:rPr>
                <w:rFonts w:hint="eastAsia" w:asciiTheme="minorEastAsia" w:hAnsiTheme="minorEastAsia" w:eastAsiaTheme="minorEastAsia" w:cstheme="minorEastAsia"/>
                <w:sz w:val="24"/>
                <w:szCs w:val="24"/>
              </w:rPr>
            </w:pPr>
          </w:p>
          <w:p w14:paraId="56D48524">
            <w:pPr>
              <w:pStyle w:val="13"/>
              <w:rPr>
                <w:rFonts w:hint="eastAsia" w:asciiTheme="minorEastAsia" w:hAnsiTheme="minorEastAsia" w:eastAsiaTheme="minorEastAsia" w:cstheme="minorEastAsia"/>
                <w:sz w:val="24"/>
                <w:szCs w:val="24"/>
              </w:rPr>
            </w:pPr>
          </w:p>
          <w:p w14:paraId="64C070D3">
            <w:pPr>
              <w:pStyle w:val="13"/>
              <w:rPr>
                <w:rFonts w:hint="eastAsia" w:asciiTheme="minorEastAsia" w:hAnsiTheme="minorEastAsia" w:eastAsiaTheme="minorEastAsia" w:cstheme="minorEastAsia"/>
                <w:sz w:val="24"/>
                <w:szCs w:val="24"/>
              </w:rPr>
            </w:pPr>
          </w:p>
          <w:p w14:paraId="04A411C0">
            <w:pPr>
              <w:pStyle w:val="13"/>
              <w:rPr>
                <w:rFonts w:hint="eastAsia" w:asciiTheme="minorEastAsia" w:hAnsiTheme="minorEastAsia" w:eastAsiaTheme="minorEastAsia" w:cstheme="minorEastAsia"/>
                <w:sz w:val="24"/>
                <w:szCs w:val="24"/>
              </w:rPr>
            </w:pPr>
          </w:p>
          <w:p w14:paraId="1C946E11">
            <w:pPr>
              <w:pStyle w:val="13"/>
              <w:ind w:firstLine="1200" w:firstLineChars="5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14</w:t>
            </w:r>
          </w:p>
        </w:tc>
        <w:tc>
          <w:tcPr>
            <w:tcW w:w="2843" w:type="dxa"/>
          </w:tcPr>
          <w:p w14:paraId="3C207106">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比选单位应满足《中华人民共和国政府采购法》第二十二条规定的条件：</w:t>
            </w:r>
          </w:p>
          <w:p w14:paraId="5FEBEEBE">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1.具有独立承担民事责任的能力；2.具有良好的商业信誉和健全的财务会计制度；3.具有履行合同所必需的设备和专业技术能力；</w:t>
            </w:r>
          </w:p>
          <w:p w14:paraId="5D77754F">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4.有依法缴纳税收和社会保障资金的良好记录；</w:t>
            </w:r>
          </w:p>
          <w:p w14:paraId="79B0812C">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5.参加政府采购活动前三年内，在经营活动中没有重大违法记录；</w:t>
            </w:r>
          </w:p>
          <w:p w14:paraId="347F7C87">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6.法律、行政法规规定的其他条件；</w:t>
            </w:r>
          </w:p>
          <w:p w14:paraId="5D17B0C3">
            <w:pPr>
              <w:keepNext w:val="0"/>
              <w:keepLines w:val="0"/>
              <w:pageBreakBefore w:val="0"/>
              <w:widowControl w:val="0"/>
              <w:kinsoku/>
              <w:wordWrap/>
              <w:overflowPunct/>
              <w:topLinePunct w:val="0"/>
              <w:autoSpaceDE/>
              <w:autoSpaceDN/>
              <w:bidi w:val="0"/>
              <w:adjustRightInd w:val="0"/>
              <w:snapToGrid w:val="0"/>
              <w:spacing w:line="579" w:lineRule="exact"/>
              <w:jc w:val="both"/>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z w:val="24"/>
                <w:szCs w:val="24"/>
                <w:lang w:val="en-US" w:eastAsia="zh-CN"/>
              </w:rPr>
              <w:t>7、比选单位应具有旅游服务的相关资质；缺一项扣</w:t>
            </w: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lang w:val="en-US" w:eastAsia="zh-CN"/>
              </w:rPr>
              <w:t>分，本项</w:t>
            </w:r>
            <w:r>
              <w:rPr>
                <w:rFonts w:hint="eastAsia" w:asciiTheme="minorEastAsia" w:hAnsiTheme="minorEastAsia" w:cstheme="minorEastAsia"/>
                <w:sz w:val="24"/>
                <w:szCs w:val="24"/>
                <w:lang w:val="en-US" w:eastAsia="zh-CN"/>
              </w:rPr>
              <w:t>14</w:t>
            </w:r>
            <w:r>
              <w:rPr>
                <w:rFonts w:hint="eastAsia" w:asciiTheme="minorEastAsia" w:hAnsiTheme="minorEastAsia" w:eastAsiaTheme="minorEastAsia" w:cstheme="minorEastAsia"/>
                <w:sz w:val="24"/>
                <w:szCs w:val="24"/>
                <w:lang w:val="en-US" w:eastAsia="zh-CN"/>
              </w:rPr>
              <w:t>分；</w:t>
            </w:r>
          </w:p>
        </w:tc>
      </w:tr>
      <w:tr w14:paraId="0B5D71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3" w:hRule="atLeast"/>
        </w:trPr>
        <w:tc>
          <w:tcPr>
            <w:tcW w:w="2842" w:type="dxa"/>
          </w:tcPr>
          <w:p w14:paraId="10EDD413">
            <w:pPr>
              <w:pStyle w:val="13"/>
              <w:ind w:left="108" w:right="98"/>
              <w:jc w:val="center"/>
              <w:rPr>
                <w:rFonts w:hint="eastAsia" w:asciiTheme="minorEastAsia" w:hAnsiTheme="minorEastAsia" w:eastAsiaTheme="minorEastAsia" w:cstheme="minorEastAsia"/>
                <w:sz w:val="24"/>
                <w:szCs w:val="24"/>
                <w:lang w:val="en-US" w:eastAsia="zh-CN"/>
              </w:rPr>
            </w:pPr>
          </w:p>
          <w:p w14:paraId="41D8D949">
            <w:pPr>
              <w:pStyle w:val="13"/>
              <w:ind w:left="108" w:right="98"/>
              <w:jc w:val="both"/>
              <w:rPr>
                <w:rFonts w:hint="eastAsia" w:asciiTheme="minorEastAsia" w:hAnsiTheme="minorEastAsia" w:eastAsiaTheme="minorEastAsia" w:cstheme="minorEastAsia"/>
                <w:sz w:val="24"/>
                <w:szCs w:val="24"/>
                <w:lang w:val="en-US" w:eastAsia="zh-CN"/>
              </w:rPr>
            </w:pPr>
          </w:p>
          <w:p w14:paraId="3FC6AEA8">
            <w:pPr>
              <w:pStyle w:val="13"/>
              <w:ind w:left="108" w:right="98"/>
              <w:jc w:val="both"/>
              <w:rPr>
                <w:rFonts w:hint="eastAsia" w:asciiTheme="minorEastAsia" w:hAnsiTheme="minorEastAsia" w:eastAsiaTheme="minorEastAsia" w:cstheme="minorEastAsia"/>
                <w:sz w:val="24"/>
                <w:szCs w:val="24"/>
                <w:lang w:val="en-US" w:eastAsia="zh-CN"/>
              </w:rPr>
            </w:pPr>
          </w:p>
          <w:p w14:paraId="50C7C2F8">
            <w:pPr>
              <w:pStyle w:val="13"/>
              <w:ind w:right="98" w:firstLine="480" w:firstLineChars="200"/>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供应商情况</w:t>
            </w:r>
          </w:p>
        </w:tc>
        <w:tc>
          <w:tcPr>
            <w:tcW w:w="2843" w:type="dxa"/>
          </w:tcPr>
          <w:p w14:paraId="7B437C96">
            <w:pPr>
              <w:pStyle w:val="13"/>
              <w:spacing w:before="1"/>
              <w:ind w:left="33" w:right="27"/>
              <w:jc w:val="center"/>
              <w:rPr>
                <w:rFonts w:hint="eastAsia" w:asciiTheme="minorEastAsia" w:hAnsiTheme="minorEastAsia" w:eastAsiaTheme="minorEastAsia" w:cstheme="minorEastAsia"/>
                <w:sz w:val="24"/>
                <w:szCs w:val="24"/>
              </w:rPr>
            </w:pPr>
          </w:p>
          <w:p w14:paraId="7EFCB16E">
            <w:pPr>
              <w:pStyle w:val="13"/>
              <w:spacing w:before="1"/>
              <w:ind w:left="33" w:right="27"/>
              <w:jc w:val="center"/>
              <w:rPr>
                <w:rFonts w:hint="eastAsia" w:asciiTheme="minorEastAsia" w:hAnsiTheme="minorEastAsia" w:eastAsiaTheme="minorEastAsia" w:cstheme="minorEastAsia"/>
                <w:sz w:val="24"/>
                <w:szCs w:val="24"/>
                <w:lang w:val="en-US" w:eastAsia="zh-CN"/>
              </w:rPr>
            </w:pPr>
          </w:p>
          <w:p w14:paraId="577D1F61">
            <w:pPr>
              <w:pStyle w:val="13"/>
              <w:spacing w:before="1"/>
              <w:ind w:left="33" w:right="27"/>
              <w:jc w:val="center"/>
              <w:rPr>
                <w:rFonts w:hint="eastAsia" w:asciiTheme="minorEastAsia" w:hAnsiTheme="minorEastAsia" w:eastAsiaTheme="minorEastAsia" w:cstheme="minorEastAsia"/>
                <w:sz w:val="24"/>
                <w:szCs w:val="24"/>
                <w:lang w:val="en-US" w:eastAsia="zh-CN"/>
              </w:rPr>
            </w:pPr>
          </w:p>
          <w:p w14:paraId="63FEFEBA">
            <w:pPr>
              <w:pStyle w:val="13"/>
              <w:spacing w:before="1"/>
              <w:ind w:right="27" w:firstLine="960" w:firstLineChars="400"/>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w:t>
            </w:r>
          </w:p>
        </w:tc>
        <w:tc>
          <w:tcPr>
            <w:tcW w:w="2843" w:type="dxa"/>
          </w:tcPr>
          <w:p w14:paraId="329E5DBA">
            <w:pPr>
              <w:pStyle w:val="13"/>
              <w:numPr>
                <w:ilvl w:val="0"/>
                <w:numId w:val="0"/>
              </w:numPr>
              <w:spacing w:line="364" w:lineRule="auto"/>
              <w:ind w:right="96" w:right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w:t>
            </w:r>
            <w:r>
              <w:rPr>
                <w:rFonts w:hint="eastAsia" w:asciiTheme="minorEastAsia" w:hAnsiTheme="minorEastAsia" w:eastAsiaTheme="minorEastAsia" w:cstheme="minorEastAsia"/>
                <w:sz w:val="24"/>
                <w:szCs w:val="24"/>
                <w:lang w:val="en-US" w:eastAsia="zh-CN"/>
              </w:rPr>
              <w:t>供应商</w:t>
            </w:r>
            <w:r>
              <w:rPr>
                <w:rFonts w:hint="eastAsia" w:asciiTheme="minorEastAsia" w:hAnsiTheme="minorEastAsia" w:eastAsiaTheme="minorEastAsia" w:cstheme="minorEastAsia"/>
                <w:sz w:val="24"/>
                <w:szCs w:val="24"/>
              </w:rPr>
              <w:t>团队组织架构等人员配备情况综合打分：</w:t>
            </w:r>
            <w:r>
              <w:rPr>
                <w:rFonts w:hint="eastAsia" w:asciiTheme="minorEastAsia" w:hAnsiTheme="minorEastAsia" w:eastAsiaTheme="minorEastAsia" w:cstheme="minorEastAsia"/>
                <w:spacing w:val="-16"/>
                <w:sz w:val="24"/>
                <w:szCs w:val="24"/>
              </w:rPr>
              <w:t>团队组织</w:t>
            </w:r>
            <w:r>
              <w:rPr>
                <w:rFonts w:hint="eastAsia" w:asciiTheme="minorEastAsia" w:hAnsiTheme="minorEastAsia" w:eastAsiaTheme="minorEastAsia" w:cstheme="minorEastAsia"/>
                <w:spacing w:val="-15"/>
                <w:sz w:val="24"/>
                <w:szCs w:val="24"/>
              </w:rPr>
              <w:t>架构合理，人员配置能够满足</w:t>
            </w:r>
            <w:r>
              <w:rPr>
                <w:rFonts w:hint="eastAsia" w:asciiTheme="minorEastAsia" w:hAnsiTheme="minorEastAsia" w:eastAsiaTheme="minorEastAsia" w:cstheme="minorEastAsia"/>
                <w:spacing w:val="-22"/>
                <w:sz w:val="24"/>
                <w:szCs w:val="24"/>
              </w:rPr>
              <w:t xml:space="preserve">服务需要，得 </w:t>
            </w:r>
            <w:r>
              <w:rPr>
                <w:rFonts w:hint="eastAsia" w:asciiTheme="minorEastAsia" w:hAnsiTheme="minorEastAsia" w:eastAsiaTheme="minorEastAsia" w:cstheme="minorEastAsia"/>
                <w:spacing w:val="-22"/>
                <w:sz w:val="24"/>
                <w:szCs w:val="24"/>
                <w:lang w:val="en-US" w:eastAsia="zh-CN"/>
              </w:rPr>
              <w:t>8-10</w:t>
            </w:r>
            <w:r>
              <w:rPr>
                <w:rFonts w:hint="eastAsia" w:asciiTheme="minorEastAsia" w:hAnsiTheme="minorEastAsia" w:eastAsiaTheme="minorEastAsia" w:cstheme="minorEastAsia"/>
                <w:spacing w:val="-9"/>
                <w:sz w:val="24"/>
                <w:szCs w:val="24"/>
              </w:rPr>
              <w:t>分；团队</w:t>
            </w:r>
            <w:r>
              <w:rPr>
                <w:rFonts w:hint="eastAsia" w:asciiTheme="minorEastAsia" w:hAnsiTheme="minorEastAsia" w:eastAsiaTheme="minorEastAsia" w:cstheme="minorEastAsia"/>
                <w:spacing w:val="-15"/>
                <w:sz w:val="24"/>
                <w:szCs w:val="24"/>
              </w:rPr>
              <w:t>组织架构较合理，人员配置基</w:t>
            </w:r>
            <w:r>
              <w:rPr>
                <w:rFonts w:hint="eastAsia" w:asciiTheme="minorEastAsia" w:hAnsiTheme="minorEastAsia" w:eastAsiaTheme="minorEastAsia" w:cstheme="minorEastAsia"/>
                <w:spacing w:val="-19"/>
                <w:sz w:val="24"/>
                <w:szCs w:val="24"/>
              </w:rPr>
              <w:t xml:space="preserve">本满足服务需要，得 </w:t>
            </w:r>
            <w:r>
              <w:rPr>
                <w:rFonts w:hint="eastAsia" w:asciiTheme="minorEastAsia" w:hAnsiTheme="minorEastAsia" w:eastAsiaTheme="minorEastAsia" w:cstheme="minorEastAsia"/>
                <w:spacing w:val="-19"/>
                <w:sz w:val="24"/>
                <w:szCs w:val="24"/>
                <w:lang w:val="en-US" w:eastAsia="zh-CN"/>
              </w:rPr>
              <w:t>4-7</w:t>
            </w:r>
            <w:r>
              <w:rPr>
                <w:rFonts w:hint="eastAsia" w:asciiTheme="minorEastAsia" w:hAnsiTheme="minorEastAsia" w:eastAsiaTheme="minorEastAsia" w:cstheme="minorEastAsia"/>
                <w:spacing w:val="-6"/>
                <w:sz w:val="24"/>
                <w:szCs w:val="24"/>
              </w:rPr>
              <w:t xml:space="preserve">分； </w:t>
            </w:r>
            <w:r>
              <w:rPr>
                <w:rFonts w:hint="eastAsia" w:asciiTheme="minorEastAsia" w:hAnsiTheme="minorEastAsia" w:eastAsiaTheme="minorEastAsia" w:cstheme="minorEastAsia"/>
                <w:spacing w:val="-10"/>
                <w:sz w:val="24"/>
                <w:szCs w:val="24"/>
              </w:rPr>
              <w:t>团队组织架构不合理，人员配置不能够满足服务需要，得</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分。</w:t>
            </w:r>
          </w:p>
        </w:tc>
      </w:tr>
      <w:tr w14:paraId="382C39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4" w:hRule="atLeast"/>
        </w:trPr>
        <w:tc>
          <w:tcPr>
            <w:tcW w:w="2842" w:type="dxa"/>
          </w:tcPr>
          <w:p w14:paraId="385A7E8B">
            <w:pPr>
              <w:pStyle w:val="13"/>
              <w:spacing w:line="364" w:lineRule="auto"/>
              <w:ind w:left="108" w:right="98"/>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w w:val="95"/>
                <w:sz w:val="24"/>
                <w:szCs w:val="24"/>
              </w:rPr>
              <w:t>常见问题的处置办法、或其他</w:t>
            </w:r>
            <w:r>
              <w:rPr>
                <w:rFonts w:hint="eastAsia" w:asciiTheme="minorEastAsia" w:hAnsiTheme="minorEastAsia" w:eastAsiaTheme="minorEastAsia" w:cstheme="minorEastAsia"/>
                <w:sz w:val="24"/>
                <w:szCs w:val="24"/>
              </w:rPr>
              <w:t>突发事件处理预案的可行性</w:t>
            </w:r>
          </w:p>
          <w:p w14:paraId="00BBE5D2">
            <w:pPr>
              <w:pStyle w:val="13"/>
              <w:ind w:left="106" w:right="98"/>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p>
        </w:tc>
        <w:tc>
          <w:tcPr>
            <w:tcW w:w="2843" w:type="dxa"/>
          </w:tcPr>
          <w:p w14:paraId="380B0BF3">
            <w:pPr>
              <w:pStyle w:val="13"/>
              <w:ind w:left="33" w:right="27"/>
              <w:jc w:val="center"/>
              <w:rPr>
                <w:rFonts w:hint="eastAsia" w:asciiTheme="minorEastAsia" w:hAnsiTheme="minorEastAsia" w:eastAsiaTheme="minorEastAsia" w:cstheme="minorEastAsia"/>
                <w:sz w:val="24"/>
                <w:szCs w:val="24"/>
                <w:lang w:val="en-US" w:eastAsia="zh-CN"/>
              </w:rPr>
            </w:pPr>
          </w:p>
          <w:p w14:paraId="61B1FD0F">
            <w:pPr>
              <w:pStyle w:val="13"/>
              <w:ind w:left="33" w:right="27"/>
              <w:jc w:val="center"/>
              <w:rPr>
                <w:rFonts w:hint="eastAsia" w:asciiTheme="minorEastAsia" w:hAnsiTheme="minorEastAsia" w:eastAsiaTheme="minorEastAsia" w:cstheme="minorEastAsia"/>
                <w:sz w:val="24"/>
                <w:szCs w:val="24"/>
                <w:lang w:val="en-US" w:eastAsia="zh-CN"/>
              </w:rPr>
            </w:pPr>
          </w:p>
          <w:p w14:paraId="6F556223">
            <w:pPr>
              <w:pStyle w:val="13"/>
              <w:ind w:left="33" w:right="27"/>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w:t>
            </w:r>
          </w:p>
        </w:tc>
        <w:tc>
          <w:tcPr>
            <w:tcW w:w="2843" w:type="dxa"/>
          </w:tcPr>
          <w:p w14:paraId="1987CFCC">
            <w:pPr>
              <w:pStyle w:val="13"/>
              <w:spacing w:line="364" w:lineRule="auto"/>
              <w:ind w:left="106" w:right="-15" w:hanging="10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0"/>
                <w:sz w:val="24"/>
                <w:szCs w:val="24"/>
              </w:rPr>
              <w:t>根据应急预案质量打分：应急</w:t>
            </w:r>
            <w:r>
              <w:rPr>
                <w:rFonts w:hint="eastAsia" w:asciiTheme="minorEastAsia" w:hAnsiTheme="minorEastAsia" w:eastAsiaTheme="minorEastAsia" w:cstheme="minorEastAsia"/>
                <w:spacing w:val="-10"/>
                <w:w w:val="95"/>
                <w:sz w:val="24"/>
                <w:szCs w:val="24"/>
              </w:rPr>
              <w:t xml:space="preserve">预案完整可行、具体易实施， </w:t>
            </w:r>
            <w:r>
              <w:rPr>
                <w:rFonts w:hint="eastAsia" w:asciiTheme="minorEastAsia" w:hAnsiTheme="minorEastAsia" w:eastAsiaTheme="minorEastAsia" w:cstheme="minorEastAsia"/>
                <w:spacing w:val="-33"/>
                <w:sz w:val="24"/>
                <w:szCs w:val="24"/>
              </w:rPr>
              <w:t xml:space="preserve">得 </w:t>
            </w:r>
            <w:r>
              <w:rPr>
                <w:rFonts w:hint="eastAsia" w:asciiTheme="minorEastAsia" w:hAnsiTheme="minorEastAsia" w:eastAsiaTheme="minorEastAsia" w:cstheme="minorEastAsia"/>
                <w:spacing w:val="-33"/>
                <w:sz w:val="24"/>
                <w:szCs w:val="24"/>
                <w:lang w:val="en-US" w:eastAsia="zh-CN"/>
              </w:rPr>
              <w:t>8-10</w:t>
            </w:r>
            <w:r>
              <w:rPr>
                <w:rFonts w:hint="eastAsia" w:asciiTheme="minorEastAsia" w:hAnsiTheme="minorEastAsia" w:eastAsiaTheme="minorEastAsia" w:cstheme="minorEastAsia"/>
                <w:sz w:val="24"/>
                <w:szCs w:val="24"/>
              </w:rPr>
              <w:t>分；应急预案较完整，可以保障项目开展得</w:t>
            </w:r>
          </w:p>
          <w:p w14:paraId="4149DC64">
            <w:pPr>
              <w:pStyle w:val="13"/>
              <w:ind w:left="30" w:right="27"/>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4-7</w:t>
            </w:r>
            <w:r>
              <w:rPr>
                <w:rFonts w:hint="eastAsia" w:asciiTheme="minorEastAsia" w:hAnsiTheme="minorEastAsia" w:eastAsiaTheme="minorEastAsia" w:cstheme="minorEastAsia"/>
                <w:sz w:val="24"/>
                <w:szCs w:val="24"/>
              </w:rPr>
              <w:t>分；</w:t>
            </w:r>
            <w:r>
              <w:rPr>
                <w:rFonts w:hint="eastAsia" w:asciiTheme="minorEastAsia" w:hAnsiTheme="minorEastAsia" w:eastAsiaTheme="minorEastAsia" w:cstheme="minorEastAsia"/>
                <w:spacing w:val="-11"/>
                <w:sz w:val="24"/>
                <w:szCs w:val="24"/>
              </w:rPr>
              <w:t>应急预案不完整，简单粗糙的</w:t>
            </w:r>
            <w:r>
              <w:rPr>
                <w:rFonts w:hint="eastAsia" w:asciiTheme="minorEastAsia" w:hAnsiTheme="minorEastAsia" w:eastAsiaTheme="minorEastAsia" w:cstheme="minorEastAsia"/>
                <w:spacing w:val="-27"/>
                <w:sz w:val="24"/>
                <w:szCs w:val="24"/>
              </w:rPr>
              <w:t xml:space="preserve">得 </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 xml:space="preserve"> 分。</w:t>
            </w:r>
          </w:p>
        </w:tc>
      </w:tr>
      <w:tr w14:paraId="69E9A7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4" w:hRule="atLeast"/>
        </w:trPr>
        <w:tc>
          <w:tcPr>
            <w:tcW w:w="2842" w:type="dxa"/>
          </w:tcPr>
          <w:p w14:paraId="30A0DE90">
            <w:pPr>
              <w:pStyle w:val="13"/>
              <w:spacing w:before="1"/>
              <w:rPr>
                <w:rFonts w:hint="eastAsia" w:asciiTheme="minorEastAsia" w:hAnsiTheme="minorEastAsia" w:eastAsiaTheme="minorEastAsia" w:cstheme="minorEastAsia"/>
                <w:sz w:val="24"/>
                <w:szCs w:val="24"/>
              </w:rPr>
            </w:pPr>
          </w:p>
          <w:p w14:paraId="7758E23A">
            <w:pPr>
              <w:pStyle w:val="13"/>
              <w:spacing w:before="1"/>
              <w:rPr>
                <w:rFonts w:hint="eastAsia" w:asciiTheme="minorEastAsia" w:hAnsiTheme="minorEastAsia" w:eastAsiaTheme="minorEastAsia" w:cstheme="minorEastAsia"/>
                <w:sz w:val="24"/>
                <w:szCs w:val="24"/>
              </w:rPr>
            </w:pPr>
          </w:p>
          <w:p w14:paraId="2B6409B5">
            <w:pPr>
              <w:pStyle w:val="13"/>
              <w:spacing w:before="1"/>
              <w:ind w:firstLine="960" w:firstLineChars="4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企业业绩</w:t>
            </w:r>
          </w:p>
        </w:tc>
        <w:tc>
          <w:tcPr>
            <w:tcW w:w="2843" w:type="dxa"/>
          </w:tcPr>
          <w:p w14:paraId="3D80E19F">
            <w:pPr>
              <w:pStyle w:val="13"/>
              <w:spacing w:line="256" w:lineRule="exact"/>
              <w:ind w:left="33" w:right="27"/>
              <w:jc w:val="center"/>
              <w:rPr>
                <w:rFonts w:hint="eastAsia" w:asciiTheme="minorEastAsia" w:hAnsiTheme="minorEastAsia" w:eastAsiaTheme="minorEastAsia" w:cstheme="minorEastAsia"/>
                <w:sz w:val="24"/>
                <w:szCs w:val="24"/>
              </w:rPr>
            </w:pPr>
          </w:p>
          <w:p w14:paraId="01339B32">
            <w:pPr>
              <w:pStyle w:val="13"/>
              <w:spacing w:line="256" w:lineRule="exact"/>
              <w:ind w:left="33" w:right="27"/>
              <w:jc w:val="center"/>
              <w:rPr>
                <w:rFonts w:hint="eastAsia" w:asciiTheme="minorEastAsia" w:hAnsiTheme="minorEastAsia" w:eastAsiaTheme="minorEastAsia" w:cstheme="minorEastAsia"/>
                <w:sz w:val="24"/>
                <w:szCs w:val="24"/>
              </w:rPr>
            </w:pPr>
          </w:p>
          <w:p w14:paraId="07123C02">
            <w:pPr>
              <w:pStyle w:val="13"/>
              <w:spacing w:line="256" w:lineRule="exact"/>
              <w:ind w:right="27"/>
              <w:jc w:val="both"/>
              <w:rPr>
                <w:rFonts w:hint="eastAsia" w:asciiTheme="minorEastAsia" w:hAnsiTheme="minorEastAsia" w:eastAsiaTheme="minorEastAsia" w:cstheme="minorEastAsia"/>
                <w:sz w:val="24"/>
                <w:szCs w:val="24"/>
              </w:rPr>
            </w:pPr>
          </w:p>
          <w:p w14:paraId="7C3CFD69">
            <w:pPr>
              <w:pStyle w:val="13"/>
              <w:spacing w:line="256" w:lineRule="exact"/>
              <w:ind w:right="27"/>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4</w:t>
            </w:r>
          </w:p>
        </w:tc>
        <w:tc>
          <w:tcPr>
            <w:tcW w:w="2843" w:type="dxa"/>
          </w:tcPr>
          <w:p w14:paraId="166D7181">
            <w:pPr>
              <w:pStyle w:val="13"/>
              <w:spacing w:before="1"/>
              <w:ind w:left="32" w:right="2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202</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年起同类项目业绩，提</w:t>
            </w:r>
            <w:r>
              <w:rPr>
                <w:rFonts w:hint="eastAsia" w:asciiTheme="minorEastAsia" w:hAnsiTheme="minorEastAsia" w:eastAsiaTheme="minorEastAsia" w:cstheme="minorEastAsia"/>
                <w:spacing w:val="-16"/>
                <w:sz w:val="24"/>
                <w:szCs w:val="24"/>
              </w:rPr>
              <w:t xml:space="preserve">供合同复印件，每提供 </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pacing w:val="2"/>
                <w:sz w:val="24"/>
                <w:szCs w:val="24"/>
              </w:rPr>
              <w:t xml:space="preserve"> </w:t>
            </w:r>
            <w:r>
              <w:rPr>
                <w:rFonts w:hint="eastAsia" w:asciiTheme="minorEastAsia" w:hAnsiTheme="minorEastAsia" w:eastAsiaTheme="minorEastAsia" w:cstheme="minorEastAsia"/>
                <w:sz w:val="24"/>
                <w:szCs w:val="24"/>
              </w:rPr>
              <w:t>份得</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分，本项最高</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分，不提供则不得分。</w:t>
            </w:r>
          </w:p>
        </w:tc>
      </w:tr>
      <w:tr w14:paraId="0BF97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4" w:hRule="atLeast"/>
        </w:trPr>
        <w:tc>
          <w:tcPr>
            <w:tcW w:w="2842" w:type="dxa"/>
          </w:tcPr>
          <w:p w14:paraId="68FF0D3A">
            <w:pPr>
              <w:pStyle w:val="13"/>
              <w:spacing w:before="1"/>
              <w:ind w:firstLine="960" w:firstLineChars="400"/>
              <w:rPr>
                <w:rFonts w:hint="eastAsia" w:asciiTheme="minorEastAsia" w:hAnsiTheme="minorEastAsia" w:eastAsiaTheme="minorEastAsia" w:cstheme="minorEastAsia"/>
                <w:sz w:val="24"/>
                <w:szCs w:val="24"/>
                <w:lang w:val="en-US" w:eastAsia="zh-CN"/>
              </w:rPr>
            </w:pPr>
          </w:p>
          <w:p w14:paraId="3259CE30">
            <w:pPr>
              <w:pStyle w:val="13"/>
              <w:spacing w:before="1"/>
              <w:ind w:firstLine="960" w:firstLineChars="4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现场演示</w:t>
            </w:r>
          </w:p>
        </w:tc>
        <w:tc>
          <w:tcPr>
            <w:tcW w:w="2843" w:type="dxa"/>
          </w:tcPr>
          <w:p w14:paraId="1C1064F8">
            <w:pPr>
              <w:pStyle w:val="13"/>
              <w:spacing w:line="256" w:lineRule="exact"/>
              <w:ind w:right="27"/>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p>
          <w:p w14:paraId="0B966968">
            <w:pPr>
              <w:pStyle w:val="13"/>
              <w:spacing w:line="256" w:lineRule="exact"/>
              <w:ind w:right="27"/>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8</w:t>
            </w:r>
          </w:p>
        </w:tc>
        <w:tc>
          <w:tcPr>
            <w:tcW w:w="2843" w:type="dxa"/>
          </w:tcPr>
          <w:p w14:paraId="2E1C530B">
            <w:pPr>
              <w:pStyle w:val="13"/>
              <w:spacing w:before="1"/>
              <w:ind w:left="32" w:right="27"/>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提供一个演示方案得1分，两个演示方案得2分，演示方案最高得2分，现场讲解6分，讲解完整、思路清晰得5-6分，讲解较完整、思路较清晰得3-4分，讲解不完整、思路不清晰得1-2分，本项包含2个项目，最高得分8分。</w:t>
            </w:r>
          </w:p>
        </w:tc>
      </w:tr>
    </w:tbl>
    <w:tbl>
      <w:tblPr>
        <w:tblStyle w:val="10"/>
        <w:tblpPr w:leftFromText="180" w:rightFromText="180" w:vertAnchor="text" w:horzAnchor="page" w:tblpX="2047" w:tblpY="199"/>
        <w:tblOverlap w:val="never"/>
        <w:tblW w:w="8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3"/>
        <w:gridCol w:w="6393"/>
        <w:gridCol w:w="888"/>
      </w:tblGrid>
      <w:tr w14:paraId="5C47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1563" w:type="dxa"/>
            <w:tcBorders>
              <w:top w:val="single" w:color="auto" w:sz="4" w:space="0"/>
              <w:bottom w:val="single" w:color="auto" w:sz="4" w:space="0"/>
              <w:right w:val="single" w:color="auto" w:sz="4" w:space="0"/>
            </w:tcBorders>
            <w:vAlign w:val="center"/>
          </w:tcPr>
          <w:p w14:paraId="44667041">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snapToGrid w:val="0"/>
                <w:kern w:val="0"/>
                <w:sz w:val="24"/>
                <w:szCs w:val="24"/>
              </w:rPr>
              <w:t>比选申请文件</w:t>
            </w:r>
            <w:r>
              <w:rPr>
                <w:rFonts w:hint="eastAsia" w:asciiTheme="minorEastAsia" w:hAnsiTheme="minorEastAsia" w:eastAsiaTheme="minorEastAsia" w:cstheme="minorEastAsia"/>
                <w:snapToGrid w:val="0"/>
                <w:kern w:val="0"/>
                <w:sz w:val="24"/>
                <w:szCs w:val="24"/>
                <w:lang w:val="en-US" w:eastAsia="zh-CN"/>
              </w:rPr>
              <w:t>的</w:t>
            </w:r>
            <w:r>
              <w:rPr>
                <w:rFonts w:hint="eastAsia" w:asciiTheme="minorEastAsia" w:hAnsiTheme="minorEastAsia" w:eastAsiaTheme="minorEastAsia" w:cstheme="minorEastAsia"/>
                <w:snapToGrid w:val="0"/>
                <w:kern w:val="0"/>
                <w:sz w:val="24"/>
                <w:szCs w:val="24"/>
              </w:rPr>
              <w:t>规范性</w:t>
            </w:r>
          </w:p>
        </w:tc>
        <w:tc>
          <w:tcPr>
            <w:tcW w:w="6393" w:type="dxa"/>
            <w:tcBorders>
              <w:top w:val="single" w:color="auto" w:sz="4" w:space="0"/>
              <w:left w:val="nil"/>
              <w:bottom w:val="single" w:color="auto" w:sz="4" w:space="0"/>
            </w:tcBorders>
            <w:vAlign w:val="center"/>
          </w:tcPr>
          <w:p w14:paraId="2EBC1AED">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snapToGrid w:val="0"/>
                <w:kern w:val="0"/>
                <w:sz w:val="24"/>
                <w:szCs w:val="24"/>
              </w:rPr>
              <w:t>比选申请文件制作规范，没有细微偏差情形的得</w:t>
            </w:r>
            <w:r>
              <w:rPr>
                <w:rFonts w:hint="eastAsia" w:asciiTheme="minorEastAsia" w:hAnsiTheme="minorEastAsia" w:eastAsiaTheme="minorEastAsia" w:cstheme="minorEastAsia"/>
                <w:snapToGrid w:val="0"/>
                <w:kern w:val="0"/>
                <w:sz w:val="24"/>
                <w:szCs w:val="24"/>
                <w:lang w:val="en-US" w:eastAsia="zh-CN"/>
              </w:rPr>
              <w:t>5</w:t>
            </w:r>
            <w:r>
              <w:rPr>
                <w:rFonts w:hint="eastAsia" w:asciiTheme="minorEastAsia" w:hAnsiTheme="minorEastAsia" w:eastAsiaTheme="minorEastAsia" w:cstheme="minorEastAsia"/>
                <w:snapToGrid w:val="0"/>
                <w:kern w:val="0"/>
                <w:sz w:val="24"/>
                <w:szCs w:val="24"/>
              </w:rPr>
              <w:t>分</w:t>
            </w:r>
            <w:r>
              <w:rPr>
                <w:rFonts w:hint="eastAsia" w:asciiTheme="minorEastAsia" w:hAnsiTheme="minorEastAsia" w:eastAsiaTheme="minorEastAsia" w:cstheme="minorEastAsia"/>
                <w:snapToGrid w:val="0"/>
                <w:kern w:val="0"/>
                <w:sz w:val="24"/>
                <w:szCs w:val="24"/>
                <w:lang w:eastAsia="zh-CN"/>
              </w:rPr>
              <w:t>。</w:t>
            </w:r>
            <w:r>
              <w:rPr>
                <w:rFonts w:hint="eastAsia" w:asciiTheme="minorEastAsia" w:hAnsiTheme="minorEastAsia" w:eastAsiaTheme="minorEastAsia" w:cstheme="minorEastAsia"/>
                <w:snapToGrid w:val="0"/>
                <w:kern w:val="0"/>
                <w:sz w:val="24"/>
                <w:szCs w:val="24"/>
              </w:rPr>
              <w:t>有一项细微偏差扣</w:t>
            </w:r>
            <w:r>
              <w:rPr>
                <w:rFonts w:hint="eastAsia" w:asciiTheme="minorEastAsia" w:hAnsiTheme="minorEastAsia" w:cstheme="minorEastAsia"/>
                <w:snapToGrid w:val="0"/>
                <w:kern w:val="0"/>
                <w:sz w:val="24"/>
                <w:szCs w:val="24"/>
                <w:lang w:val="en-US" w:eastAsia="zh-CN"/>
              </w:rPr>
              <w:t>1</w:t>
            </w:r>
            <w:r>
              <w:rPr>
                <w:rFonts w:hint="eastAsia" w:asciiTheme="minorEastAsia" w:hAnsiTheme="minorEastAsia" w:eastAsiaTheme="minorEastAsia" w:cstheme="minorEastAsia"/>
                <w:snapToGrid w:val="0"/>
                <w:kern w:val="0"/>
                <w:sz w:val="24"/>
                <w:szCs w:val="24"/>
              </w:rPr>
              <w:t>分,本项分值扣完为止。</w:t>
            </w:r>
          </w:p>
        </w:tc>
        <w:tc>
          <w:tcPr>
            <w:tcW w:w="888" w:type="dxa"/>
            <w:tcBorders>
              <w:top w:val="single" w:color="auto" w:sz="4" w:space="0"/>
              <w:left w:val="nil"/>
              <w:bottom w:val="single" w:color="auto" w:sz="4" w:space="0"/>
            </w:tcBorders>
            <w:vAlign w:val="center"/>
          </w:tcPr>
          <w:p w14:paraId="60A6BA67">
            <w:pPr>
              <w:keepNext w:val="0"/>
              <w:keepLines w:val="0"/>
              <w:pageBreakBefore w:val="0"/>
              <w:widowControl w:val="0"/>
              <w:kinsoku/>
              <w:wordWrap/>
              <w:overflowPunct/>
              <w:topLinePunct w:val="0"/>
              <w:autoSpaceDE/>
              <w:autoSpaceDN/>
              <w:bidi w:val="0"/>
              <w:adjustRightInd w:val="0"/>
              <w:snapToGrid w:val="0"/>
              <w:spacing w:line="500" w:lineRule="exact"/>
              <w:jc w:val="both"/>
              <w:textAlignment w:val="auto"/>
              <w:rPr>
                <w:rFonts w:hint="eastAsia" w:asciiTheme="minorEastAsia" w:hAnsiTheme="minorEastAsia" w:eastAsiaTheme="minorEastAsia" w:cstheme="minorEastAsia"/>
                <w:snapToGrid w:val="0"/>
                <w:kern w:val="0"/>
                <w:sz w:val="24"/>
                <w:szCs w:val="24"/>
                <w:lang w:val="en-US" w:eastAsia="zh-CN" w:bidi="ar-SA"/>
              </w:rPr>
            </w:pPr>
            <w:r>
              <w:rPr>
                <w:rFonts w:hint="eastAsia" w:asciiTheme="minorEastAsia" w:hAnsiTheme="minorEastAsia" w:eastAsiaTheme="minorEastAsia" w:cstheme="minorEastAsia"/>
                <w:snapToGrid w:val="0"/>
                <w:kern w:val="0"/>
                <w:sz w:val="24"/>
                <w:szCs w:val="24"/>
                <w:lang w:val="en-US" w:eastAsia="zh-CN"/>
              </w:rPr>
              <w:t>5</w:t>
            </w:r>
            <w:r>
              <w:rPr>
                <w:rFonts w:hint="eastAsia" w:asciiTheme="minorEastAsia" w:hAnsiTheme="minorEastAsia" w:eastAsiaTheme="minorEastAsia" w:cstheme="minorEastAsia"/>
                <w:snapToGrid w:val="0"/>
                <w:kern w:val="0"/>
                <w:sz w:val="24"/>
                <w:szCs w:val="24"/>
              </w:rPr>
              <w:t>分</w:t>
            </w:r>
          </w:p>
        </w:tc>
      </w:tr>
    </w:tbl>
    <w:p w14:paraId="4EC86882">
      <w:pPr>
        <w:rPr>
          <w:rFonts w:hint="eastAsia"/>
          <w:lang w:val="en-US" w:eastAsia="zh-CN"/>
        </w:rPr>
      </w:pPr>
    </w:p>
    <w:p w14:paraId="149B7D29">
      <w:pPr>
        <w:rPr>
          <w:rFonts w:hint="eastAsia"/>
          <w:lang w:val="en-US" w:eastAsia="zh-CN"/>
        </w:rPr>
      </w:pPr>
    </w:p>
    <w:p w14:paraId="17DDABC7">
      <w:pPr>
        <w:rPr>
          <w:rFonts w:hint="eastAsia"/>
          <w:lang w:val="en-US" w:eastAsia="zh-CN"/>
        </w:rPr>
      </w:pPr>
    </w:p>
    <w:p w14:paraId="5A3FB33F">
      <w:pPr>
        <w:rPr>
          <w:rFonts w:hint="default"/>
          <w:lang w:val="en-US" w:eastAsia="zh-CN"/>
        </w:rPr>
      </w:pPr>
    </w:p>
    <w:sectPr>
      <w:footerReference r:id="rId3" w:type="default"/>
      <w:footerReference r:id="rId4" w:type="even"/>
      <w:pgSz w:w="11906" w:h="16838"/>
      <w:pgMar w:top="2098" w:right="1474" w:bottom="1984" w:left="1587" w:header="851" w:footer="147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306D4F-7BF9-44C8-96E6-68D5713143B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embedRegular r:id="rId2" w:fontKey="{5C04C07A-3964-465F-A0BE-CC29EA17398C}"/>
  </w:font>
  <w:font w:name="Calibri Light">
    <w:panose1 w:val="020F0302020204030204"/>
    <w:charset w:val="00"/>
    <w:family w:val="auto"/>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3" w:fontKey="{DECE1BC4-8720-49B5-8908-0DA545C7CDEA}"/>
  </w:font>
  <w:font w:name="仿宋_GB2312">
    <w:altName w:val="仿宋"/>
    <w:panose1 w:val="02010609030101010101"/>
    <w:charset w:val="86"/>
    <w:family w:val="auto"/>
    <w:pitch w:val="default"/>
    <w:sig w:usb0="00000000" w:usb1="00000000" w:usb2="00000000" w:usb3="00000000" w:csb0="00040000" w:csb1="00000000"/>
    <w:embedRegular r:id="rId4" w:fontKey="{AC31C642-9525-460C-8783-3E669A97125A}"/>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9DB1D">
    <w:pPr>
      <w:pStyle w:val="7"/>
    </w:pPr>
    <w:r>
      <w:rPr>
        <w:sz w:val="18"/>
      </w:rPr>
      <mc:AlternateContent>
        <mc:Choice Requires="wps">
          <w:drawing>
            <wp:anchor distT="0" distB="0" distL="114300" distR="114300" simplePos="0" relativeHeight="251659264" behindDoc="0" locked="0" layoutInCell="1" allowOverlap="1">
              <wp:simplePos x="0" y="0"/>
              <wp:positionH relativeFrom="margin">
                <wp:posOffset>4770755</wp:posOffset>
              </wp:positionH>
              <wp:positionV relativeFrom="paragraph">
                <wp:posOffset>-83185</wp:posOffset>
              </wp:positionV>
              <wp:extent cx="894715" cy="7569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94715" cy="756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463F55">
                          <w:pPr>
                            <w:pStyle w:val="7"/>
                            <w:ind w:firstLine="320" w:firstLineChars="1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32"/>
                              <w:szCs w:val="32"/>
                              <w:lang w:eastAsia="zh-CN"/>
                            </w:rPr>
                            <w:fldChar w:fldCharType="begin"/>
                          </w:r>
                          <w:r>
                            <w:rPr>
                              <w:rFonts w:hint="eastAsia" w:asciiTheme="minorEastAsia" w:hAnsiTheme="minorEastAsia" w:eastAsiaTheme="minorEastAsia" w:cstheme="minorEastAsia"/>
                              <w:sz w:val="32"/>
                              <w:szCs w:val="32"/>
                              <w:lang w:eastAsia="zh-CN"/>
                            </w:rPr>
                            <w:instrText xml:space="preserve"> PAGE  \* MERGEFORMAT </w:instrText>
                          </w:r>
                          <w:r>
                            <w:rPr>
                              <w:rFonts w:hint="eastAsia" w:asciiTheme="minorEastAsia" w:hAnsiTheme="minorEastAsia" w:eastAsiaTheme="minorEastAsia" w:cstheme="minorEastAsia"/>
                              <w:sz w:val="32"/>
                              <w:szCs w:val="32"/>
                              <w:lang w:eastAsia="zh-CN"/>
                            </w:rPr>
                            <w:fldChar w:fldCharType="separate"/>
                          </w:r>
                          <w:r>
                            <w:rPr>
                              <w:rFonts w:hint="eastAsia" w:asciiTheme="minorEastAsia" w:hAnsiTheme="minorEastAsia" w:eastAsiaTheme="minorEastAsia" w:cstheme="minorEastAsia"/>
                              <w:sz w:val="32"/>
                              <w:szCs w:val="32"/>
                              <w:lang w:eastAsia="zh-CN"/>
                            </w:rPr>
                            <w:t>1</w:t>
                          </w:r>
                          <w:r>
                            <w:rPr>
                              <w:rFonts w:hint="eastAsia" w:asciiTheme="minorEastAsia" w:hAnsiTheme="minorEastAsia" w:eastAsiaTheme="minorEastAsia" w:cstheme="minorEastAsia"/>
                              <w:sz w:val="32"/>
                              <w:szCs w:val="32"/>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375.65pt;margin-top:-6.55pt;height:59.6pt;width:70.45pt;mso-position-horizontal-relative:margin;z-index:251659264;mso-width-relative:page;mso-height-relative:page;" filled="f" stroked="f" coordsize="21600,21600" o:gfxdata="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DBoCg/ZAAAACwEAAA8AAAAAAAAAAQAgAAAAIgAAAGRycy9kb3du&#10;cmV2LnhtbFBLAQIUABQAAAAIAIdO4kDhTeiHNwIAAGEEAAAOAAAAAAAAAAEAIAAAACgBAABkcnMv&#10;ZTJvRG9jLnhtbFBLBQYAAAAABgAGAFkBAADRBQAAAAA=&#10;">
              <v:fill on="f" focussize="0,0"/>
              <v:stroke on="f" weight="0.5pt"/>
              <v:imagedata o:title=""/>
              <o:lock v:ext="edit" aspectratio="f"/>
              <v:textbox inset="0mm,0mm,0mm,0mm">
                <w:txbxContent>
                  <w:p w14:paraId="6A463F55">
                    <w:pPr>
                      <w:pStyle w:val="7"/>
                      <w:ind w:firstLine="320" w:firstLineChars="1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32"/>
                        <w:szCs w:val="32"/>
                        <w:lang w:eastAsia="zh-CN"/>
                      </w:rPr>
                      <w:fldChar w:fldCharType="begin"/>
                    </w:r>
                    <w:r>
                      <w:rPr>
                        <w:rFonts w:hint="eastAsia" w:asciiTheme="minorEastAsia" w:hAnsiTheme="minorEastAsia" w:eastAsiaTheme="minorEastAsia" w:cstheme="minorEastAsia"/>
                        <w:sz w:val="32"/>
                        <w:szCs w:val="32"/>
                        <w:lang w:eastAsia="zh-CN"/>
                      </w:rPr>
                      <w:instrText xml:space="preserve"> PAGE  \* MERGEFORMAT </w:instrText>
                    </w:r>
                    <w:r>
                      <w:rPr>
                        <w:rFonts w:hint="eastAsia" w:asciiTheme="minorEastAsia" w:hAnsiTheme="minorEastAsia" w:eastAsiaTheme="minorEastAsia" w:cstheme="minorEastAsia"/>
                        <w:sz w:val="32"/>
                        <w:szCs w:val="32"/>
                        <w:lang w:eastAsia="zh-CN"/>
                      </w:rPr>
                      <w:fldChar w:fldCharType="separate"/>
                    </w:r>
                    <w:r>
                      <w:rPr>
                        <w:rFonts w:hint="eastAsia" w:asciiTheme="minorEastAsia" w:hAnsiTheme="minorEastAsia" w:eastAsiaTheme="minorEastAsia" w:cstheme="minorEastAsia"/>
                        <w:sz w:val="32"/>
                        <w:szCs w:val="32"/>
                        <w:lang w:eastAsia="zh-CN"/>
                      </w:rPr>
                      <w:t>1</w:t>
                    </w:r>
                    <w:r>
                      <w:rPr>
                        <w:rFonts w:hint="eastAsia" w:asciiTheme="minorEastAsia" w:hAnsiTheme="minorEastAsia" w:eastAsiaTheme="minorEastAsia" w:cstheme="minorEastAsia"/>
                        <w:sz w:val="32"/>
                        <w:szCs w:val="32"/>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9F224">
    <w:pPr>
      <w:pStyle w:val="7"/>
    </w:pPr>
    <w:r>
      <w:rPr>
        <w:sz w:val="18"/>
      </w:rPr>
      <mc:AlternateContent>
        <mc:Choice Requires="wps">
          <w:drawing>
            <wp:anchor distT="0" distB="0" distL="114300" distR="114300" simplePos="0" relativeHeight="251660288" behindDoc="0" locked="0" layoutInCell="1" allowOverlap="1">
              <wp:simplePos x="0" y="0"/>
              <wp:positionH relativeFrom="margin">
                <wp:posOffset>-8890</wp:posOffset>
              </wp:positionH>
              <wp:positionV relativeFrom="paragraph">
                <wp:posOffset>-93345</wp:posOffset>
              </wp:positionV>
              <wp:extent cx="894715" cy="756920"/>
              <wp:effectExtent l="0" t="0" r="0" b="0"/>
              <wp:wrapNone/>
              <wp:docPr id="2" name="文本框 2"/>
              <wp:cNvGraphicFramePr/>
              <a:graphic xmlns:a="http://schemas.openxmlformats.org/drawingml/2006/main">
                <a:graphicData uri="http://schemas.microsoft.com/office/word/2010/wordprocessingShape">
                  <wps:wsp>
                    <wps:cNvSpPr txBox="1"/>
                    <wps:spPr>
                      <a:xfrm>
                        <a:off x="0" y="0"/>
                        <a:ext cx="894715" cy="756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2F34E5">
                          <w:pPr>
                            <w:pStyle w:val="7"/>
                            <w:ind w:firstLine="320" w:firstLineChars="1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32"/>
                              <w:szCs w:val="32"/>
                              <w:lang w:eastAsia="zh-CN"/>
                            </w:rPr>
                            <w:fldChar w:fldCharType="begin"/>
                          </w:r>
                          <w:r>
                            <w:rPr>
                              <w:rFonts w:hint="eastAsia" w:asciiTheme="minorEastAsia" w:hAnsiTheme="minorEastAsia" w:eastAsiaTheme="minorEastAsia" w:cstheme="minorEastAsia"/>
                              <w:sz w:val="32"/>
                              <w:szCs w:val="32"/>
                              <w:lang w:eastAsia="zh-CN"/>
                            </w:rPr>
                            <w:instrText xml:space="preserve"> PAGE  \* MERGEFORMAT </w:instrText>
                          </w:r>
                          <w:r>
                            <w:rPr>
                              <w:rFonts w:hint="eastAsia" w:asciiTheme="minorEastAsia" w:hAnsiTheme="minorEastAsia" w:eastAsiaTheme="minorEastAsia" w:cstheme="minorEastAsia"/>
                              <w:sz w:val="32"/>
                              <w:szCs w:val="32"/>
                              <w:lang w:eastAsia="zh-CN"/>
                            </w:rPr>
                            <w:fldChar w:fldCharType="separate"/>
                          </w:r>
                          <w:r>
                            <w:rPr>
                              <w:rFonts w:hint="eastAsia" w:asciiTheme="minorEastAsia" w:hAnsiTheme="minorEastAsia" w:eastAsiaTheme="minorEastAsia" w:cstheme="minorEastAsia"/>
                              <w:sz w:val="32"/>
                              <w:szCs w:val="32"/>
                              <w:lang w:eastAsia="zh-CN"/>
                            </w:rPr>
                            <w:t>1</w:t>
                          </w:r>
                          <w:r>
                            <w:rPr>
                              <w:rFonts w:hint="eastAsia" w:asciiTheme="minorEastAsia" w:hAnsiTheme="minorEastAsia" w:eastAsiaTheme="minorEastAsia" w:cstheme="minorEastAsia"/>
                              <w:sz w:val="32"/>
                              <w:szCs w:val="32"/>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7pt;margin-top:-7.35pt;height:59.6pt;width:70.45pt;mso-position-horizontal-relative:margin;z-index:251660288;mso-width-relative:page;mso-height-relative:page;" filled="f" stroked="f" coordsize="21600,21600" o:gfxdata="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LHKtnHYAAAACgEAAA8AAAAAAAAAAQAgAAAAIgAAAGRycy9kb3du&#10;cmV2LnhtbFBLAQIUABQAAAAIAIdO4kCuSlfIOAIAAGEEAAAOAAAAAAAAAAEAIAAAACcBAABkcnMv&#10;ZTJvRG9jLnhtbFBLBQYAAAAABgAGAFkBAADRBQAAAAA=&#10;">
              <v:fill on="f" focussize="0,0"/>
              <v:stroke on="f" weight="0.5pt"/>
              <v:imagedata o:title=""/>
              <o:lock v:ext="edit" aspectratio="f"/>
              <v:textbox inset="0mm,0mm,0mm,0mm">
                <w:txbxContent>
                  <w:p w14:paraId="382F34E5">
                    <w:pPr>
                      <w:pStyle w:val="7"/>
                      <w:ind w:firstLine="320" w:firstLineChars="1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32"/>
                        <w:szCs w:val="32"/>
                        <w:lang w:eastAsia="zh-CN"/>
                      </w:rPr>
                      <w:fldChar w:fldCharType="begin"/>
                    </w:r>
                    <w:r>
                      <w:rPr>
                        <w:rFonts w:hint="eastAsia" w:asciiTheme="minorEastAsia" w:hAnsiTheme="minorEastAsia" w:eastAsiaTheme="minorEastAsia" w:cstheme="minorEastAsia"/>
                        <w:sz w:val="32"/>
                        <w:szCs w:val="32"/>
                        <w:lang w:eastAsia="zh-CN"/>
                      </w:rPr>
                      <w:instrText xml:space="preserve"> PAGE  \* MERGEFORMAT </w:instrText>
                    </w:r>
                    <w:r>
                      <w:rPr>
                        <w:rFonts w:hint="eastAsia" w:asciiTheme="minorEastAsia" w:hAnsiTheme="minorEastAsia" w:eastAsiaTheme="minorEastAsia" w:cstheme="minorEastAsia"/>
                        <w:sz w:val="32"/>
                        <w:szCs w:val="32"/>
                        <w:lang w:eastAsia="zh-CN"/>
                      </w:rPr>
                      <w:fldChar w:fldCharType="separate"/>
                    </w:r>
                    <w:r>
                      <w:rPr>
                        <w:rFonts w:hint="eastAsia" w:asciiTheme="minorEastAsia" w:hAnsiTheme="minorEastAsia" w:eastAsiaTheme="minorEastAsia" w:cstheme="minorEastAsia"/>
                        <w:sz w:val="32"/>
                        <w:szCs w:val="32"/>
                        <w:lang w:eastAsia="zh-CN"/>
                      </w:rPr>
                      <w:t>1</w:t>
                    </w:r>
                    <w:r>
                      <w:rPr>
                        <w:rFonts w:hint="eastAsia" w:asciiTheme="minorEastAsia" w:hAnsiTheme="minorEastAsia" w:eastAsiaTheme="minorEastAsia" w:cstheme="minorEastAsia"/>
                        <w:sz w:val="32"/>
                        <w:szCs w:val="32"/>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09041D"/>
    <w:multiLevelType w:val="singleLevel"/>
    <w:tmpl w:val="570904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3YWFhMzM3YzNmMzgwZTBjZGE4ZTRlZDcxOGExZDkifQ=="/>
  </w:docVars>
  <w:rsids>
    <w:rsidRoot w:val="00000000"/>
    <w:rsid w:val="0135713E"/>
    <w:rsid w:val="016153A2"/>
    <w:rsid w:val="01BB11E2"/>
    <w:rsid w:val="024222F5"/>
    <w:rsid w:val="02885B2B"/>
    <w:rsid w:val="03131B10"/>
    <w:rsid w:val="04462311"/>
    <w:rsid w:val="04B3012F"/>
    <w:rsid w:val="053B34C1"/>
    <w:rsid w:val="054917CA"/>
    <w:rsid w:val="05AF565C"/>
    <w:rsid w:val="069E1E7C"/>
    <w:rsid w:val="078F4E2B"/>
    <w:rsid w:val="0B6E49A9"/>
    <w:rsid w:val="0C6C7998"/>
    <w:rsid w:val="0D28464C"/>
    <w:rsid w:val="0D4173CF"/>
    <w:rsid w:val="0D7D288F"/>
    <w:rsid w:val="0E385ECE"/>
    <w:rsid w:val="0E4119C5"/>
    <w:rsid w:val="0FF5654A"/>
    <w:rsid w:val="0FFB71A3"/>
    <w:rsid w:val="10683D1D"/>
    <w:rsid w:val="10AA5069"/>
    <w:rsid w:val="11092D0B"/>
    <w:rsid w:val="116430D3"/>
    <w:rsid w:val="116E2471"/>
    <w:rsid w:val="13611FEF"/>
    <w:rsid w:val="13A93309"/>
    <w:rsid w:val="142F1AB1"/>
    <w:rsid w:val="169925A8"/>
    <w:rsid w:val="16FC1EC4"/>
    <w:rsid w:val="17A20AD1"/>
    <w:rsid w:val="196A5744"/>
    <w:rsid w:val="19893B3F"/>
    <w:rsid w:val="1A7B169C"/>
    <w:rsid w:val="1A9857F7"/>
    <w:rsid w:val="1B6B7D14"/>
    <w:rsid w:val="1C453B1D"/>
    <w:rsid w:val="1C735D73"/>
    <w:rsid w:val="1D7868A5"/>
    <w:rsid w:val="1DD37934"/>
    <w:rsid w:val="1E29337D"/>
    <w:rsid w:val="1EDB3A02"/>
    <w:rsid w:val="1EF43851"/>
    <w:rsid w:val="1EF75EB3"/>
    <w:rsid w:val="1F123925"/>
    <w:rsid w:val="205C645E"/>
    <w:rsid w:val="207373CE"/>
    <w:rsid w:val="20D508B5"/>
    <w:rsid w:val="211E21E4"/>
    <w:rsid w:val="214462D3"/>
    <w:rsid w:val="22002A04"/>
    <w:rsid w:val="23B656CE"/>
    <w:rsid w:val="23FA585E"/>
    <w:rsid w:val="24586E5A"/>
    <w:rsid w:val="24A9353D"/>
    <w:rsid w:val="255055E6"/>
    <w:rsid w:val="25AA6E4E"/>
    <w:rsid w:val="25F82939"/>
    <w:rsid w:val="26302484"/>
    <w:rsid w:val="269A6C8B"/>
    <w:rsid w:val="26E629A1"/>
    <w:rsid w:val="27010201"/>
    <w:rsid w:val="272248F7"/>
    <w:rsid w:val="274145FD"/>
    <w:rsid w:val="27E5447C"/>
    <w:rsid w:val="282C34C7"/>
    <w:rsid w:val="29695145"/>
    <w:rsid w:val="2A0D68E0"/>
    <w:rsid w:val="2A354F80"/>
    <w:rsid w:val="2B9E53DB"/>
    <w:rsid w:val="2BE100C6"/>
    <w:rsid w:val="2C2B7A35"/>
    <w:rsid w:val="2CC033CA"/>
    <w:rsid w:val="2D0D1CDB"/>
    <w:rsid w:val="2E0C3938"/>
    <w:rsid w:val="2EDA17FC"/>
    <w:rsid w:val="2F937FD2"/>
    <w:rsid w:val="301F7BB5"/>
    <w:rsid w:val="303C72B8"/>
    <w:rsid w:val="30A33B91"/>
    <w:rsid w:val="30C525C5"/>
    <w:rsid w:val="31575EBA"/>
    <w:rsid w:val="31F320A1"/>
    <w:rsid w:val="32125C4A"/>
    <w:rsid w:val="3217208B"/>
    <w:rsid w:val="326D12B4"/>
    <w:rsid w:val="33067383"/>
    <w:rsid w:val="33E078F8"/>
    <w:rsid w:val="33F775A3"/>
    <w:rsid w:val="355F4A4F"/>
    <w:rsid w:val="3571184B"/>
    <w:rsid w:val="35BD57BF"/>
    <w:rsid w:val="37060E35"/>
    <w:rsid w:val="3728444A"/>
    <w:rsid w:val="37757FB6"/>
    <w:rsid w:val="37C57D35"/>
    <w:rsid w:val="3816185D"/>
    <w:rsid w:val="385E36F4"/>
    <w:rsid w:val="38821665"/>
    <w:rsid w:val="388D4D2C"/>
    <w:rsid w:val="38C50221"/>
    <w:rsid w:val="38E66C07"/>
    <w:rsid w:val="398E3A0F"/>
    <w:rsid w:val="3AF977B9"/>
    <w:rsid w:val="3BAB3411"/>
    <w:rsid w:val="3BAD2C1D"/>
    <w:rsid w:val="3BD23B3C"/>
    <w:rsid w:val="3C35703B"/>
    <w:rsid w:val="3DA355D3"/>
    <w:rsid w:val="3F5325AC"/>
    <w:rsid w:val="400E1879"/>
    <w:rsid w:val="45F421E2"/>
    <w:rsid w:val="46887B29"/>
    <w:rsid w:val="46C950C4"/>
    <w:rsid w:val="475F1105"/>
    <w:rsid w:val="4AC37FCB"/>
    <w:rsid w:val="4B361E92"/>
    <w:rsid w:val="4B6E31D9"/>
    <w:rsid w:val="4BC4632B"/>
    <w:rsid w:val="4BC62F5F"/>
    <w:rsid w:val="4D2558E1"/>
    <w:rsid w:val="4D594799"/>
    <w:rsid w:val="4D752FCE"/>
    <w:rsid w:val="4DAE28B9"/>
    <w:rsid w:val="4DE32442"/>
    <w:rsid w:val="4EB851F2"/>
    <w:rsid w:val="4EE93F89"/>
    <w:rsid w:val="4F047C30"/>
    <w:rsid w:val="4FA4616B"/>
    <w:rsid w:val="50822955"/>
    <w:rsid w:val="51A30F0C"/>
    <w:rsid w:val="52057DDF"/>
    <w:rsid w:val="52655758"/>
    <w:rsid w:val="53AC478F"/>
    <w:rsid w:val="53AD7596"/>
    <w:rsid w:val="54463B45"/>
    <w:rsid w:val="544D4D1D"/>
    <w:rsid w:val="54D93A3A"/>
    <w:rsid w:val="55555808"/>
    <w:rsid w:val="5767731A"/>
    <w:rsid w:val="57813E65"/>
    <w:rsid w:val="580004AE"/>
    <w:rsid w:val="59553A54"/>
    <w:rsid w:val="5A6D21E0"/>
    <w:rsid w:val="5AC223A4"/>
    <w:rsid w:val="5ACE38BA"/>
    <w:rsid w:val="5CCE4542"/>
    <w:rsid w:val="5D8F0453"/>
    <w:rsid w:val="5DD0672E"/>
    <w:rsid w:val="5E5231E5"/>
    <w:rsid w:val="5F7033CF"/>
    <w:rsid w:val="5FB42EB1"/>
    <w:rsid w:val="5FD300F1"/>
    <w:rsid w:val="6060373F"/>
    <w:rsid w:val="60E41BE3"/>
    <w:rsid w:val="6123023C"/>
    <w:rsid w:val="62081F68"/>
    <w:rsid w:val="620D4212"/>
    <w:rsid w:val="62463517"/>
    <w:rsid w:val="62913252"/>
    <w:rsid w:val="63CA39A1"/>
    <w:rsid w:val="65AF6C57"/>
    <w:rsid w:val="65E63C3C"/>
    <w:rsid w:val="65FA64D6"/>
    <w:rsid w:val="660C23E9"/>
    <w:rsid w:val="670233DE"/>
    <w:rsid w:val="68202701"/>
    <w:rsid w:val="69B03533"/>
    <w:rsid w:val="6A121A4B"/>
    <w:rsid w:val="6B0B37C5"/>
    <w:rsid w:val="6B830DF6"/>
    <w:rsid w:val="6B893AA7"/>
    <w:rsid w:val="6E2F0343"/>
    <w:rsid w:val="6EEA485E"/>
    <w:rsid w:val="6F14125B"/>
    <w:rsid w:val="6FF2525D"/>
    <w:rsid w:val="6FF75422"/>
    <w:rsid w:val="707A4CE7"/>
    <w:rsid w:val="70FC5123"/>
    <w:rsid w:val="714C3BB9"/>
    <w:rsid w:val="719C678D"/>
    <w:rsid w:val="7339772A"/>
    <w:rsid w:val="737D1018"/>
    <w:rsid w:val="738D0A40"/>
    <w:rsid w:val="740D2C6B"/>
    <w:rsid w:val="748E0A23"/>
    <w:rsid w:val="787E2EEA"/>
    <w:rsid w:val="793B36E3"/>
    <w:rsid w:val="797E04F6"/>
    <w:rsid w:val="79E13F34"/>
    <w:rsid w:val="7A412F79"/>
    <w:rsid w:val="7B5B1028"/>
    <w:rsid w:val="7BE00BF3"/>
    <w:rsid w:val="7C5D5970"/>
    <w:rsid w:val="7CB07AF1"/>
    <w:rsid w:val="7D924BB7"/>
    <w:rsid w:val="7DD659FE"/>
    <w:rsid w:val="7EE94923"/>
    <w:rsid w:val="7F496733"/>
    <w:rsid w:val="7FE94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qFormat/>
    <w:uiPriority w:val="1"/>
    <w:pPr>
      <w:spacing w:before="62"/>
      <w:outlineLvl w:val="3"/>
    </w:pPr>
    <w:rPr>
      <w:rFonts w:ascii="宋体" w:hAnsi="宋体" w:eastAsia="宋体" w:cs="宋体"/>
      <w:sz w:val="28"/>
      <w:szCs w:val="28"/>
      <w:lang w:val="zh-CN" w:eastAsia="zh-CN" w:bidi="zh-CN"/>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0"/>
    <w:pPr>
      <w:ind w:firstLine="880" w:firstLineChars="200"/>
    </w:pPr>
  </w:style>
  <w:style w:type="paragraph" w:styleId="5">
    <w:name w:val="Salutation"/>
    <w:basedOn w:val="1"/>
    <w:next w:val="1"/>
    <w:qFormat/>
    <w:uiPriority w:val="99"/>
  </w:style>
  <w:style w:type="paragraph" w:styleId="6">
    <w:name w:val="Body Text"/>
    <w:basedOn w:val="1"/>
    <w:next w:val="1"/>
    <w:qFormat/>
    <w:uiPriority w:val="0"/>
    <w:pPr>
      <w:spacing w:after="12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2522</Words>
  <Characters>2654</Characters>
  <Lines>0</Lines>
  <Paragraphs>0</Paragraphs>
  <TotalTime>149</TotalTime>
  <ScaleCrop>false</ScaleCrop>
  <LinksUpToDate>false</LinksUpToDate>
  <CharactersWithSpaces>2807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2020-12-07T02:06:00Z</dcterms:created>
  <dc:creator>Dell</dc:creator>
  <cp:lastModifiedBy>Vicksence  Ding</cp:lastModifiedBy>
  <cp:lastPrinted>2021-02-18T02:00:00Z</cp:lastPrinted>
  <dcterms:modified xsi:type="dcterms:W3CDTF">2024-10-22T14:27:47Z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17DEB0A2287440B48BD446FE4914174F_13</vt:lpwstr>
  </property>
</Properties>
</file>